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BA" w:rsidRDefault="00A20655" w:rsidP="00BF519C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вопросу 1</w:t>
      </w:r>
      <w:r w:rsidR="00BF519C">
        <w:rPr>
          <w:rFonts w:ascii="Times New Roman" w:hAnsi="Times New Roman" w:cs="Times New Roman"/>
          <w:b/>
          <w:sz w:val="24"/>
          <w:szCs w:val="24"/>
        </w:rPr>
        <w:t>.3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BC03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03BA">
        <w:rPr>
          <w:rFonts w:ascii="Times New Roman" w:hAnsi="Times New Roman" w:cs="Times New Roman"/>
          <w:b/>
          <w:sz w:val="24"/>
          <w:szCs w:val="24"/>
        </w:rPr>
        <w:t>Рэнкинг</w:t>
      </w:r>
      <w:proofErr w:type="spellEnd"/>
      <w:r w:rsidR="00BC03BA">
        <w:rPr>
          <w:rFonts w:ascii="Times New Roman" w:hAnsi="Times New Roman" w:cs="Times New Roman"/>
          <w:b/>
          <w:sz w:val="24"/>
          <w:szCs w:val="24"/>
        </w:rPr>
        <w:t xml:space="preserve"> городов </w:t>
      </w:r>
      <w:proofErr w:type="spellStart"/>
      <w:r w:rsidR="00410793">
        <w:rPr>
          <w:rFonts w:ascii="Times New Roman" w:hAnsi="Times New Roman" w:cs="Times New Roman"/>
          <w:b/>
          <w:sz w:val="24"/>
          <w:szCs w:val="24"/>
        </w:rPr>
        <w:t>С</w:t>
      </w:r>
      <w:r w:rsidR="00BC03BA">
        <w:rPr>
          <w:rFonts w:ascii="Times New Roman" w:hAnsi="Times New Roman" w:cs="Times New Roman"/>
          <w:b/>
          <w:sz w:val="24"/>
          <w:szCs w:val="24"/>
        </w:rPr>
        <w:t>еверо-</w:t>
      </w:r>
      <w:r w:rsidR="00410793">
        <w:rPr>
          <w:rFonts w:ascii="Times New Roman" w:hAnsi="Times New Roman" w:cs="Times New Roman"/>
          <w:b/>
          <w:sz w:val="24"/>
          <w:szCs w:val="24"/>
        </w:rPr>
        <w:t>З</w:t>
      </w:r>
      <w:r w:rsidR="00BC03BA">
        <w:rPr>
          <w:rFonts w:ascii="Times New Roman" w:hAnsi="Times New Roman" w:cs="Times New Roman"/>
          <w:b/>
          <w:sz w:val="24"/>
          <w:szCs w:val="24"/>
        </w:rPr>
        <w:t>апада</w:t>
      </w:r>
      <w:proofErr w:type="spellEnd"/>
      <w:r w:rsidR="00BC03BA">
        <w:rPr>
          <w:rFonts w:ascii="Times New Roman" w:hAnsi="Times New Roman" w:cs="Times New Roman"/>
          <w:b/>
          <w:sz w:val="24"/>
          <w:szCs w:val="24"/>
        </w:rPr>
        <w:t xml:space="preserve"> России по интегральному показателю «успешности» социально-экономического развития</w:t>
      </w:r>
    </w:p>
    <w:p w:rsidR="00BC03BA" w:rsidRDefault="00BF519C" w:rsidP="00BC03BA">
      <w:pPr>
        <w:spacing w:line="240" w:lineRule="auto"/>
        <w:ind w:firstLine="708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C03BA">
        <w:rPr>
          <w:rFonts w:ascii="Times New Roman" w:hAnsi="Times New Roman" w:cs="Times New Roman"/>
          <w:b/>
          <w:i/>
          <w:iCs/>
          <w:sz w:val="24"/>
          <w:szCs w:val="24"/>
        </w:rPr>
        <w:t>Динамика показателей социально-экономического развития городов и определение успешно развивающихся городов Северо-Запада России</w:t>
      </w:r>
    </w:p>
    <w:p w:rsidR="00C007AD" w:rsidRPr="00BC03BA" w:rsidRDefault="00C007AD" w:rsidP="00BC03BA">
      <w:pPr>
        <w:spacing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BC03BA">
        <w:rPr>
          <w:rFonts w:ascii="Times New Roman" w:eastAsia="Times New Roman" w:hAnsi="Times New Roman" w:cs="Times New Roman"/>
          <w:color w:val="333333"/>
          <w:lang w:eastAsia="ru-RU"/>
        </w:rPr>
        <w:t>В состав Северо-Западного федерального округа (СЗФО) входит 11 регионов. На его долю приходится почти десятая часть (9,5%) населения страны, 50% лесов и большая часть водных ресурсов европейской части страны. Более половины населения — 7,6 из 13,8 миллиона человек — живёт в Санкт-Петербурге и Ленинградской области. На Европейский Север </w:t>
      </w:r>
      <w:r w:rsidRPr="00BC03BA">
        <w:rPr>
          <w:rFonts w:ascii="Times New Roman" w:eastAsia="Times New Roman" w:hAnsi="Times New Roman" w:cs="Times New Roman"/>
          <w:lang w:eastAsia="ru-RU"/>
        </w:rPr>
        <w:t>приходится</w:t>
      </w:r>
      <w:r w:rsidRPr="00BC03BA">
        <w:rPr>
          <w:rFonts w:ascii="Times New Roman" w:eastAsia="Times New Roman" w:hAnsi="Times New Roman" w:cs="Times New Roman"/>
          <w:color w:val="333333"/>
          <w:lang w:eastAsia="ru-RU"/>
        </w:rPr>
        <w:t xml:space="preserve"> большая часть российских природных и культурных памятников, защищённых ЮНЕСКО. </w:t>
      </w:r>
    </w:p>
    <w:p w:rsidR="005A1723" w:rsidRPr="00BC03BA" w:rsidRDefault="00C007AD" w:rsidP="00BF51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BC03BA">
        <w:rPr>
          <w:rFonts w:ascii="Times New Roman" w:eastAsia="Times New Roman" w:hAnsi="Times New Roman" w:cs="Times New Roman"/>
          <w:lang w:eastAsia="ru-RU"/>
        </w:rPr>
        <w:t xml:space="preserve">Северо-Западный федеральный округ является высоко урбанизированным макрорегионом—85,17% населения живут в 152 городах. Среди них город </w:t>
      </w:r>
      <w:proofErr w:type="gramStart"/>
      <w:r w:rsidRPr="00BC03BA">
        <w:rPr>
          <w:rFonts w:ascii="Times New Roman" w:eastAsia="Times New Roman" w:hAnsi="Times New Roman" w:cs="Times New Roman"/>
          <w:lang w:eastAsia="ru-RU"/>
        </w:rPr>
        <w:t>–м</w:t>
      </w:r>
      <w:proofErr w:type="gramEnd"/>
      <w:r w:rsidRPr="00BC03BA">
        <w:rPr>
          <w:rFonts w:ascii="Times New Roman" w:eastAsia="Times New Roman" w:hAnsi="Times New Roman" w:cs="Times New Roman"/>
          <w:lang w:eastAsia="ru-RU"/>
        </w:rPr>
        <w:t>иллионник, 6 крупных городов и 22 города с населением от 50 тысяч населения. Именно эти 22 города являются предметом изучения с целью определения наиболее успешных по ряду критериев, чтобы в дальнейшем рассмотреть причины успешности и выявить возможности и перспективы их дальнейшего развития.</w:t>
      </w:r>
    </w:p>
    <w:p w:rsidR="00093650" w:rsidRPr="00BC03BA" w:rsidRDefault="0093609D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>Для анализа были использованы данные Росстата, в частности б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аза данных «Показатели муни</w:t>
      </w:r>
      <w:r w:rsidRPr="00BC03BA">
        <w:rPr>
          <w:rFonts w:ascii="Times New Roman" w:hAnsi="Times New Roman" w:cs="Times New Roman"/>
          <w:shd w:val="clear" w:color="auto" w:fill="FFFFFF"/>
        </w:rPr>
        <w:t>ципальных образований» (БД ПМО), с</w:t>
      </w:r>
      <w:r w:rsidR="00093650" w:rsidRPr="00BC03BA">
        <w:rPr>
          <w:rFonts w:ascii="Times New Roman" w:hAnsi="Times New Roman" w:cs="Times New Roman"/>
          <w:shd w:val="clear" w:color="auto" w:fill="FFFFFF"/>
        </w:rPr>
        <w:t xml:space="preserve">борники «Регионы России. Основные социально-экономические показатели городов» </w:t>
      </w:r>
      <w:r w:rsidRPr="00BC03BA">
        <w:rPr>
          <w:rFonts w:ascii="Times New Roman" w:hAnsi="Times New Roman" w:cs="Times New Roman"/>
          <w:shd w:val="clear" w:color="auto" w:fill="FFFFFF"/>
        </w:rPr>
        <w:t>за 2004-2022 годы (последние данные – за 2021 г.), а также данные Минстроя России (и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ндекс ка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чества городской среды Минстроя) и региональных финансовых 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департаментов и финансовых управлений городов</w:t>
      </w:r>
      <w:r w:rsidRPr="00BC03BA">
        <w:rPr>
          <w:rFonts w:ascii="Times New Roman" w:hAnsi="Times New Roman" w:cs="Times New Roman"/>
          <w:shd w:val="clear" w:color="auto" w:fill="FFFFFF"/>
        </w:rPr>
        <w:t>.</w:t>
      </w:r>
    </w:p>
    <w:p w:rsidR="00003659" w:rsidRPr="00BC03BA" w:rsidRDefault="00567240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>Обор показателей для дальнейшего анализа и рэнкинга городов</w:t>
      </w:r>
      <w:r w:rsidR="00AB1A1C" w:rsidRPr="00BC03BA">
        <w:rPr>
          <w:rFonts w:ascii="Times New Roman" w:hAnsi="Times New Roman" w:cs="Times New Roman"/>
          <w:shd w:val="clear" w:color="auto" w:fill="FFFFFF"/>
        </w:rPr>
        <w:t xml:space="preserve"> с точки зрения успешности </w:t>
      </w:r>
      <w:r w:rsidRPr="00BC03BA">
        <w:rPr>
          <w:rFonts w:ascii="Times New Roman" w:hAnsi="Times New Roman" w:cs="Times New Roman"/>
          <w:shd w:val="clear" w:color="auto" w:fill="FFFFFF"/>
        </w:rPr>
        <w:t>осуществлялся, исходя из понимания успешного города, как город</w:t>
      </w:r>
      <w:r w:rsidR="00AB1A1C" w:rsidRPr="00BC03BA">
        <w:rPr>
          <w:rFonts w:ascii="Times New Roman" w:hAnsi="Times New Roman" w:cs="Times New Roman"/>
          <w:shd w:val="clear" w:color="auto" w:fill="FFFFFF"/>
        </w:rPr>
        <w:t>а, в котором хотят жить и живут люди, условия для жизни комфортны,</w:t>
      </w:r>
      <w:r w:rsidR="008E47DB" w:rsidRPr="00BC03BA">
        <w:rPr>
          <w:rFonts w:ascii="Times New Roman" w:hAnsi="Times New Roman" w:cs="Times New Roman"/>
          <w:shd w:val="clear" w:color="auto" w:fill="FFFFFF"/>
        </w:rPr>
        <w:t xml:space="preserve"> </w:t>
      </w:r>
      <w:r w:rsidR="003E0779" w:rsidRPr="00BC03BA">
        <w:rPr>
          <w:rFonts w:ascii="Times New Roman" w:hAnsi="Times New Roman" w:cs="Times New Roman"/>
          <w:shd w:val="clear" w:color="auto" w:fill="FFFFFF"/>
        </w:rPr>
        <w:t>муниципальные услуги предоставляются и финансируются в достаточном объеме,</w:t>
      </w:r>
      <w:r w:rsidR="00AB1A1C" w:rsidRPr="00BC03BA">
        <w:rPr>
          <w:rFonts w:ascii="Times New Roman" w:hAnsi="Times New Roman" w:cs="Times New Roman"/>
          <w:shd w:val="clear" w:color="auto" w:fill="FFFFFF"/>
        </w:rPr>
        <w:t xml:space="preserve"> и </w:t>
      </w:r>
      <w:r w:rsidR="006B3FAB" w:rsidRPr="00BC03BA">
        <w:rPr>
          <w:rFonts w:ascii="Times New Roman" w:hAnsi="Times New Roman" w:cs="Times New Roman"/>
          <w:shd w:val="clear" w:color="auto" w:fill="FFFFFF"/>
        </w:rPr>
        <w:t>где</w:t>
      </w:r>
      <w:r w:rsidR="00AB1A1C" w:rsidRPr="00BC03BA">
        <w:rPr>
          <w:rFonts w:ascii="Times New Roman" w:hAnsi="Times New Roman" w:cs="Times New Roman"/>
          <w:shd w:val="clear" w:color="auto" w:fill="FFFFFF"/>
        </w:rPr>
        <w:t xml:space="preserve"> со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здается и поддерживается задел для устойчивого развития.</w:t>
      </w:r>
      <w:r w:rsidR="00AB1A1C" w:rsidRPr="00BC03BA">
        <w:rPr>
          <w:rFonts w:ascii="Times New Roman" w:hAnsi="Times New Roman" w:cs="Times New Roman"/>
          <w:shd w:val="clear" w:color="auto" w:fill="FFFFFF"/>
        </w:rPr>
        <w:t xml:space="preserve">  </w:t>
      </w:r>
    </w:p>
    <w:p w:rsidR="00003659" w:rsidRPr="00BC03BA" w:rsidRDefault="00AB1A1C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>В качестве показателей желания людей жить в городе были использованы такие показатели, как «е</w:t>
      </w:r>
      <w:r w:rsidR="00093650" w:rsidRPr="00BC03BA">
        <w:rPr>
          <w:rFonts w:ascii="Times New Roman" w:hAnsi="Times New Roman" w:cs="Times New Roman"/>
          <w:shd w:val="clear" w:color="auto" w:fill="FFFFFF"/>
        </w:rPr>
        <w:t>стественный прирост (убыль) населения</w:t>
      </w:r>
      <w:r w:rsidRPr="00BC03BA">
        <w:rPr>
          <w:rFonts w:ascii="Times New Roman" w:hAnsi="Times New Roman" w:cs="Times New Roman"/>
          <w:shd w:val="clear" w:color="auto" w:fill="FFFFFF"/>
        </w:rPr>
        <w:t>» и «м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играционный прирост (убыль) населения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».  </w:t>
      </w:r>
    </w:p>
    <w:p w:rsidR="00003659" w:rsidRPr="00BC03BA" w:rsidRDefault="00AB1A1C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>В качестве показателей комфортности проживания в городе были использованы таки</w:t>
      </w:r>
      <w:r w:rsidR="00003659" w:rsidRPr="00BC03BA">
        <w:rPr>
          <w:rFonts w:ascii="Times New Roman" w:hAnsi="Times New Roman" w:cs="Times New Roman"/>
          <w:shd w:val="clear" w:color="auto" w:fill="FFFFFF"/>
        </w:rPr>
        <w:t>е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 показатели, как «п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лощадь жилых помещений на душу населения</w:t>
      </w:r>
      <w:r w:rsidRPr="00BC03BA">
        <w:rPr>
          <w:rFonts w:ascii="Times New Roman" w:hAnsi="Times New Roman" w:cs="Times New Roman"/>
          <w:shd w:val="clear" w:color="auto" w:fill="FFFFFF"/>
        </w:rPr>
        <w:t>» и «и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ндекс качества городской среды Минстроя РФ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».  </w:t>
      </w:r>
    </w:p>
    <w:p w:rsidR="00093650" w:rsidRPr="00BC03BA" w:rsidRDefault="00AB1A1C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proofErr w:type="gramStart"/>
      <w:r w:rsidRPr="00BC03BA">
        <w:rPr>
          <w:rFonts w:ascii="Times New Roman" w:hAnsi="Times New Roman" w:cs="Times New Roman"/>
          <w:shd w:val="clear" w:color="auto" w:fill="FFFFFF"/>
        </w:rPr>
        <w:t>В качестве показателей задела для дальнейшего устойчивого развития были использованы такие показатели, как «о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бъем инвестиций в основной капитал (за исключением бюджетных средств) в расчете на 1 человека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» (этот же показатель можно рассматривать как 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прокси показатель инновационности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 города</w:t>
      </w:r>
      <w:r w:rsidR="00093650" w:rsidRPr="00BC03BA">
        <w:rPr>
          <w:rFonts w:ascii="Times New Roman" w:hAnsi="Times New Roman" w:cs="Times New Roman"/>
          <w:shd w:val="clear" w:color="auto" w:fill="FFFFFF"/>
        </w:rPr>
        <w:t>)</w:t>
      </w:r>
      <w:r w:rsidRPr="00BC03BA">
        <w:rPr>
          <w:rFonts w:ascii="Times New Roman" w:hAnsi="Times New Roman" w:cs="Times New Roman"/>
          <w:shd w:val="clear" w:color="auto" w:fill="FFFFFF"/>
        </w:rPr>
        <w:t>, «б</w:t>
      </w:r>
      <w:r w:rsidR="00093650" w:rsidRPr="00BC03BA">
        <w:rPr>
          <w:rFonts w:ascii="Times New Roman" w:hAnsi="Times New Roman" w:cs="Times New Roman"/>
          <w:shd w:val="clear" w:color="auto" w:fill="FFFFFF"/>
        </w:rPr>
        <w:t>юджетные доходы в расчете на 1 жителя</w:t>
      </w:r>
      <w:r w:rsidRPr="00BC03BA">
        <w:rPr>
          <w:rFonts w:ascii="Times New Roman" w:hAnsi="Times New Roman" w:cs="Times New Roman"/>
          <w:shd w:val="clear" w:color="auto" w:fill="FFFFFF"/>
        </w:rPr>
        <w:t>», «д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оля безвозмездных поступлений в доходах местного бюджета</w:t>
      </w:r>
      <w:r w:rsidRPr="00BC03BA">
        <w:rPr>
          <w:rFonts w:ascii="Times New Roman" w:hAnsi="Times New Roman" w:cs="Times New Roman"/>
          <w:shd w:val="clear" w:color="auto" w:fill="FFFFFF"/>
        </w:rPr>
        <w:t>» и «д</w:t>
      </w:r>
      <w:r w:rsidR="00093650" w:rsidRPr="00BC03BA">
        <w:rPr>
          <w:rFonts w:ascii="Times New Roman" w:hAnsi="Times New Roman" w:cs="Times New Roman"/>
          <w:shd w:val="clear" w:color="auto" w:fill="FFFFFF"/>
        </w:rPr>
        <w:t>ефицит бюджета на душу населения</w:t>
      </w:r>
      <w:r w:rsidRPr="00BC03BA">
        <w:rPr>
          <w:rFonts w:ascii="Times New Roman" w:hAnsi="Times New Roman" w:cs="Times New Roman"/>
          <w:shd w:val="clear" w:color="auto" w:fill="FFFFFF"/>
        </w:rPr>
        <w:t>».</w:t>
      </w:r>
      <w:proofErr w:type="gramEnd"/>
    </w:p>
    <w:p w:rsidR="00AD5EF1" w:rsidRDefault="00AD5EF1" w:rsidP="00BC03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E2D47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 xml:space="preserve">По динамике численности населения </w:t>
      </w:r>
      <w:r w:rsidRPr="00BC03BA">
        <w:rPr>
          <w:rFonts w:ascii="Times New Roman" w:hAnsi="Times New Roman" w:cs="Times New Roman"/>
          <w:color w:val="0E2D47"/>
          <w:shd w:val="clear" w:color="auto" w:fill="FFFFFF"/>
        </w:rPr>
        <w:t>Северо-Западный федеральный округ в целом в 2012-2022 гг. продемонстрировал умеренно-положительную динамику – численность населения округа выросла в этот период в 1,02 раза. При этом заметно выше средней по округу была динамика численности населения в Североморске</w:t>
      </w:r>
      <w:r w:rsidR="00285305" w:rsidRPr="00BC03BA">
        <w:rPr>
          <w:rFonts w:ascii="Times New Roman" w:hAnsi="Times New Roman" w:cs="Times New Roman"/>
          <w:color w:val="0E2D47"/>
          <w:shd w:val="clear" w:color="auto" w:fill="FFFFFF"/>
        </w:rPr>
        <w:t>,</w:t>
      </w:r>
      <w:r w:rsidRPr="00BC03BA">
        <w:rPr>
          <w:rFonts w:ascii="Times New Roman" w:hAnsi="Times New Roman" w:cs="Times New Roman"/>
          <w:color w:val="0E2D47"/>
          <w:shd w:val="clear" w:color="auto" w:fill="FFFFFF"/>
        </w:rPr>
        <w:t xml:space="preserve"> Всеволожске, Сертолово, Калининграде.  В то же самое время значительная убыль населения наблюдалась в Воркуте, Апатитах, Выборге, Ухте, Мурманске, Великих Луках</w:t>
      </w:r>
      <w:r w:rsidR="009D391A" w:rsidRPr="00BC03BA">
        <w:rPr>
          <w:rFonts w:ascii="Times New Roman" w:hAnsi="Times New Roman" w:cs="Times New Roman"/>
          <w:color w:val="0E2D47"/>
          <w:shd w:val="clear" w:color="auto" w:fill="FFFFFF"/>
        </w:rPr>
        <w:t xml:space="preserve"> (</w:t>
      </w:r>
      <w:proofErr w:type="gramStart"/>
      <w:r w:rsidR="009D391A" w:rsidRPr="00BC03BA">
        <w:rPr>
          <w:rFonts w:ascii="Times New Roman" w:hAnsi="Times New Roman" w:cs="Times New Roman"/>
          <w:color w:val="0E2D47"/>
          <w:shd w:val="clear" w:color="auto" w:fill="FFFFFF"/>
        </w:rPr>
        <w:t>см</w:t>
      </w:r>
      <w:proofErr w:type="gramEnd"/>
      <w:r w:rsidR="009D391A" w:rsidRPr="00BC03BA">
        <w:rPr>
          <w:rFonts w:ascii="Times New Roman" w:hAnsi="Times New Roman" w:cs="Times New Roman"/>
          <w:color w:val="0E2D47"/>
          <w:shd w:val="clear" w:color="auto" w:fill="FFFFFF"/>
        </w:rPr>
        <w:t>. рисунок 1).</w:t>
      </w:r>
    </w:p>
    <w:p w:rsidR="00AD5EF1" w:rsidRPr="00BC03BA" w:rsidRDefault="00AD5EF1" w:rsidP="0029769E">
      <w:pPr>
        <w:jc w:val="both"/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</w:pPr>
      <w:r w:rsidRPr="00AD5EF1">
        <w:rPr>
          <w:rFonts w:ascii="Times New Roman" w:hAnsi="Times New Roman" w:cs="Times New Roman"/>
          <w:noProof/>
          <w:color w:val="0E2D47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940425" cy="1964690"/>
            <wp:effectExtent l="0" t="0" r="3175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BC03BA"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  <w:t>Рисунок 1 - Соотношение численности населения на начало 2022 г. и численности населения на начало 2012 г.</w:t>
      </w:r>
    </w:p>
    <w:p w:rsidR="00643D72" w:rsidRPr="00BC03BA" w:rsidRDefault="00643D72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lastRenderedPageBreak/>
        <w:t xml:space="preserve">Иначе выглядит список успешных городов по величине суммарного абсолютного миграционного прироста численности населения за 2012-2022 гг.  </w:t>
      </w:r>
      <w:r w:rsidR="004F4B9C" w:rsidRPr="00BC03BA">
        <w:rPr>
          <w:rFonts w:ascii="Times New Roman" w:hAnsi="Times New Roman" w:cs="Times New Roman"/>
          <w:shd w:val="clear" w:color="auto" w:fill="FFFFFF"/>
        </w:rPr>
        <w:t>В рассматриваемый</w:t>
      </w:r>
      <w:r w:rsidRPr="00BC03BA">
        <w:rPr>
          <w:rFonts w:ascii="Times New Roman" w:hAnsi="Times New Roman" w:cs="Times New Roman"/>
          <w:shd w:val="clear" w:color="auto" w:fill="FFFFFF"/>
        </w:rPr>
        <w:t xml:space="preserve"> период благодаря миграции в наибольшей степени выросло населения Калининграда, Сертолов</w:t>
      </w:r>
      <w:r w:rsidR="00A81016" w:rsidRPr="00BC03BA">
        <w:rPr>
          <w:rFonts w:ascii="Times New Roman" w:hAnsi="Times New Roman" w:cs="Times New Roman"/>
          <w:shd w:val="clear" w:color="auto" w:fill="FFFFFF"/>
        </w:rPr>
        <w:t>а</w:t>
      </w:r>
      <w:r w:rsidRPr="00BC03BA">
        <w:rPr>
          <w:rFonts w:ascii="Times New Roman" w:hAnsi="Times New Roman" w:cs="Times New Roman"/>
          <w:shd w:val="clear" w:color="auto" w:fill="FFFFFF"/>
        </w:rPr>
        <w:t>, Петрозаводска, Всеволожска, Великого Новгорода</w:t>
      </w:r>
      <w:r w:rsidR="008B506B" w:rsidRPr="00BC03BA">
        <w:rPr>
          <w:rFonts w:ascii="Times New Roman" w:hAnsi="Times New Roman" w:cs="Times New Roman"/>
          <w:shd w:val="clear" w:color="auto" w:fill="FFFFFF"/>
        </w:rPr>
        <w:t xml:space="preserve"> и Пскова (</w:t>
      </w:r>
      <w:proofErr w:type="gramStart"/>
      <w:r w:rsidR="008B506B" w:rsidRPr="00BC03BA">
        <w:rPr>
          <w:rFonts w:ascii="Times New Roman" w:hAnsi="Times New Roman" w:cs="Times New Roman"/>
          <w:shd w:val="clear" w:color="auto" w:fill="FFFFFF"/>
        </w:rPr>
        <w:t>см</w:t>
      </w:r>
      <w:proofErr w:type="gramEnd"/>
      <w:r w:rsidR="008B506B" w:rsidRPr="00BC03BA">
        <w:rPr>
          <w:rFonts w:ascii="Times New Roman" w:hAnsi="Times New Roman" w:cs="Times New Roman"/>
          <w:shd w:val="clear" w:color="auto" w:fill="FFFFFF"/>
        </w:rPr>
        <w:t>. рисунок 3).</w:t>
      </w:r>
    </w:p>
    <w:p w:rsidR="00643D72" w:rsidRPr="00643D72" w:rsidRDefault="00643D72" w:rsidP="00643D72">
      <w:pPr>
        <w:jc w:val="both"/>
        <w:rPr>
          <w:rFonts w:ascii="Times New Roman" w:hAnsi="Times New Roman" w:cs="Times New Roman"/>
          <w:color w:val="0E2D47"/>
          <w:sz w:val="24"/>
          <w:szCs w:val="24"/>
          <w:shd w:val="clear" w:color="auto" w:fill="FFFFFF"/>
        </w:rPr>
      </w:pPr>
      <w:r w:rsidRPr="00643D72">
        <w:rPr>
          <w:rFonts w:ascii="Times New Roman" w:hAnsi="Times New Roman" w:cs="Times New Roman"/>
          <w:noProof/>
          <w:color w:val="0E2D47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940425" cy="2900680"/>
            <wp:effectExtent l="0" t="0" r="317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43D72" w:rsidRPr="00BC03BA" w:rsidRDefault="00643D72" w:rsidP="00643D72">
      <w:pPr>
        <w:ind w:firstLine="709"/>
        <w:jc w:val="both"/>
        <w:rPr>
          <w:rFonts w:ascii="Times New Roman" w:hAnsi="Times New Roman" w:cs="Times New Roman"/>
          <w:color w:val="0E2D47"/>
          <w:sz w:val="20"/>
          <w:szCs w:val="20"/>
          <w:shd w:val="clear" w:color="auto" w:fill="FFFFFF"/>
        </w:rPr>
      </w:pPr>
      <w:r w:rsidRPr="00BC03BA"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  <w:t xml:space="preserve">Рисунок 3 - </w:t>
      </w:r>
      <w:r w:rsidRPr="00BC03BA">
        <w:rPr>
          <w:rFonts w:ascii="Times New Roman" w:hAnsi="Times New Roman" w:cs="Times New Roman"/>
          <w:b/>
          <w:bCs/>
          <w:color w:val="0E2D47"/>
          <w:sz w:val="20"/>
          <w:szCs w:val="20"/>
          <w:shd w:val="clear" w:color="auto" w:fill="FFFFFF"/>
        </w:rPr>
        <w:t xml:space="preserve">Суммарный абсолютный миграционный прирост населения за 2012-2022 гг. </w:t>
      </w:r>
      <w:r w:rsidRPr="00BC03BA"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  <w:t>(данные по городам с доступной статистикой за рассматриваемый период)</w:t>
      </w:r>
      <w:r w:rsidR="004F4B9C" w:rsidRPr="00BC03BA">
        <w:rPr>
          <w:rFonts w:ascii="Times New Roman" w:hAnsi="Times New Roman" w:cs="Times New Roman"/>
          <w:color w:val="0E2D47"/>
          <w:sz w:val="20"/>
          <w:szCs w:val="20"/>
          <w:shd w:val="clear" w:color="auto" w:fill="FFFFFF"/>
        </w:rPr>
        <w:t>.</w:t>
      </w:r>
    </w:p>
    <w:p w:rsidR="004F4B9C" w:rsidRPr="00BC03BA" w:rsidRDefault="004F4B9C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</w:rPr>
        <w:t xml:space="preserve">Важным показателем уровня и перспектив социально-экономического развития города является объем инвестиций в основной капитал в расчете на 1 жителя.  Этот индикатор характеризует как создание задела для устойчивого развития в будущем, так и степени инновационности города, ведь наиболее существенные инновации либо сами </w:t>
      </w:r>
      <w:proofErr w:type="gramStart"/>
      <w:r w:rsidRPr="00BC03BA">
        <w:rPr>
          <w:rFonts w:ascii="Times New Roman" w:hAnsi="Times New Roman" w:cs="Times New Roman"/>
        </w:rPr>
        <w:t>оказываются</w:t>
      </w:r>
      <w:proofErr w:type="gramEnd"/>
      <w:r w:rsidRPr="00BC03BA">
        <w:rPr>
          <w:rFonts w:ascii="Times New Roman" w:hAnsi="Times New Roman" w:cs="Times New Roman"/>
        </w:rPr>
        <w:t xml:space="preserve"> воплощены в элементах основного капитала, либо требуют для внедрения и использования определенной инфраструктуры, которая так же учитывается в составе основного капитала. По объему инвестиций в основной капитал (за исключением бюджетных средств) в расчете на 1 жителя в 2010-2022 гг. среди малых и средних городов Северо-Запада с населением свыше 50 тыс. человек лидировали Ухта, Череповец, Воркута, </w:t>
      </w:r>
      <w:r w:rsidR="00BC03BA" w:rsidRPr="00BC03BA">
        <w:rPr>
          <w:rFonts w:ascii="Times New Roman" w:hAnsi="Times New Roman" w:cs="Times New Roman"/>
        </w:rPr>
        <w:t>Калининград, Сыктывкар и Вологда</w:t>
      </w:r>
      <w:r w:rsidR="00BC03BA">
        <w:rPr>
          <w:rFonts w:ascii="Times New Roman" w:hAnsi="Times New Roman" w:cs="Times New Roman"/>
        </w:rPr>
        <w:t>.</w:t>
      </w:r>
    </w:p>
    <w:p w:rsidR="00A81016" w:rsidRPr="00BC03BA" w:rsidRDefault="00A81016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3E2086" w:rsidRPr="00BC03BA" w:rsidRDefault="00C64951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BC03BA">
        <w:rPr>
          <w:rFonts w:ascii="Times New Roman" w:hAnsi="Times New Roman" w:cs="Times New Roman"/>
          <w:shd w:val="clear" w:color="auto" w:fill="FFFFFF"/>
        </w:rPr>
        <w:t>Одним из важнейших индикаторов качества жизни в городе является обеспеченность жильем, поэтому прирост площади жилых помещений на душу населения можно рассматривать в качестве одного из важных показателей социально-экономической динамики.  В 2012-2021 гг. в наибольшей степени улучшилось положение с обеспеченностью жильем в Североморске, Котласе, Вологде и Калининграде.  Явным аутсайдером же оказался Архангельск, где обеспеченность жильем почти не изменилась (</w:t>
      </w:r>
      <w:proofErr w:type="gramStart"/>
      <w:r w:rsidRPr="00BC03BA">
        <w:rPr>
          <w:rFonts w:ascii="Times New Roman" w:hAnsi="Times New Roman" w:cs="Times New Roman"/>
          <w:shd w:val="clear" w:color="auto" w:fill="FFFFFF"/>
        </w:rPr>
        <w:t>см</w:t>
      </w:r>
      <w:proofErr w:type="gramEnd"/>
      <w:r w:rsidRPr="00BC03BA">
        <w:rPr>
          <w:rFonts w:ascii="Times New Roman" w:hAnsi="Times New Roman" w:cs="Times New Roman"/>
          <w:shd w:val="clear" w:color="auto" w:fill="FFFFFF"/>
        </w:rPr>
        <w:t>. рисунок 5).</w:t>
      </w:r>
    </w:p>
    <w:p w:rsidR="00643D72" w:rsidRDefault="003E2086" w:rsidP="003E2086">
      <w:pPr>
        <w:jc w:val="both"/>
        <w:rPr>
          <w:rFonts w:ascii="Times New Roman" w:hAnsi="Times New Roman" w:cs="Times New Roman"/>
          <w:color w:val="0E2D47"/>
          <w:sz w:val="24"/>
          <w:szCs w:val="24"/>
          <w:shd w:val="clear" w:color="auto" w:fill="FFFFFF"/>
        </w:rPr>
      </w:pPr>
      <w:r w:rsidRPr="003E2086">
        <w:rPr>
          <w:rFonts w:ascii="Times New Roman" w:hAnsi="Times New Roman" w:cs="Times New Roman"/>
          <w:noProof/>
          <w:color w:val="0E2D47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940425" cy="2254250"/>
            <wp:effectExtent l="0" t="0" r="317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90FAA" w:rsidRPr="00DC5185" w:rsidRDefault="003E2086" w:rsidP="00BF519C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C5185"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  <w:t xml:space="preserve">Рисунок 5 - </w:t>
      </w:r>
      <w:r w:rsidRPr="00DC5185">
        <w:rPr>
          <w:rFonts w:ascii="Times New Roman" w:hAnsi="Times New Roman" w:cs="Times New Roman"/>
          <w:b/>
          <w:bCs/>
          <w:color w:val="0E2D47"/>
          <w:sz w:val="20"/>
          <w:szCs w:val="20"/>
          <w:shd w:val="clear" w:color="auto" w:fill="FFFFFF"/>
        </w:rPr>
        <w:t>Прирост площади жилых помещений на душу населения с 2012 по 2021, кв. м.</w:t>
      </w:r>
    </w:p>
    <w:p w:rsidR="00801804" w:rsidRPr="00DC5185" w:rsidRDefault="00831021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5185">
        <w:rPr>
          <w:rFonts w:ascii="Times New Roman" w:hAnsi="Times New Roman" w:cs="Times New Roman"/>
        </w:rPr>
        <w:t>Наряду с показателями социально-экономического развития, собир</w:t>
      </w:r>
      <w:r w:rsidR="00EB370A" w:rsidRPr="00DC5185">
        <w:rPr>
          <w:rFonts w:ascii="Times New Roman" w:hAnsi="Times New Roman" w:cs="Times New Roman"/>
        </w:rPr>
        <w:t xml:space="preserve">аемыми и публикуемыми Росстатом, представляется полезным воспользоваться и интегральным </w:t>
      </w:r>
      <w:r w:rsidR="00EB370A" w:rsidRPr="00DC5185">
        <w:rPr>
          <w:rFonts w:ascii="Times New Roman" w:hAnsi="Times New Roman" w:cs="Times New Roman"/>
        </w:rPr>
        <w:lastRenderedPageBreak/>
        <w:t xml:space="preserve">показателем успешности города, каковым является Индекс качества городской среды Минстроя России.  </w:t>
      </w:r>
      <w:proofErr w:type="gramStart"/>
      <w:r w:rsidR="00EB370A" w:rsidRPr="00DC5185">
        <w:rPr>
          <w:rFonts w:ascii="Times New Roman" w:hAnsi="Times New Roman" w:cs="Times New Roman"/>
        </w:rPr>
        <w:t>Этот индекс рассчитывается Министерством строительства и жилищно-коммунального хозяйства РФ и используется, в частности, для реализации положений Указа Президента Российской Федерации от 21.07.2020 г. №474 «О национальных целях развития Российской Федерации на период до 2030 года», национального проекта «Жилье и городская среда», в том числе для определения размера субсидии из федерального бюджета бюджетам субъектов Российской Федерации на поддержку государственных программ субъектов</w:t>
      </w:r>
      <w:proofErr w:type="gramEnd"/>
      <w:r w:rsidR="00EB370A" w:rsidRPr="00DC5185">
        <w:rPr>
          <w:rFonts w:ascii="Times New Roman" w:hAnsi="Times New Roman" w:cs="Times New Roman"/>
        </w:rPr>
        <w:t xml:space="preserve"> Российской Федерации и муниципальных программ формирования современной городской среды.</w:t>
      </w:r>
      <w:r w:rsidR="00F90FAA" w:rsidRPr="00DC5185">
        <w:rPr>
          <w:rFonts w:ascii="Times New Roman" w:hAnsi="Times New Roman" w:cs="Times New Roman"/>
        </w:rPr>
        <w:t xml:space="preserve"> </w:t>
      </w:r>
    </w:p>
    <w:p w:rsidR="00445A78" w:rsidRPr="00DC5185" w:rsidRDefault="00F90FAA" w:rsidP="00BF519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C5185">
        <w:rPr>
          <w:rFonts w:ascii="Times New Roman" w:hAnsi="Times New Roman" w:cs="Times New Roman"/>
        </w:rPr>
        <w:t xml:space="preserve">В основе этого показателя - оценка качества городской среды по 6 критериям (безопасность, комфортность, экологичность и здоровье, идентичность и разнообразие, современность и актуальность среды, эффективность управления) с использованием 36 индикаторов. Для расчета индекса города разделены на 10 климатических и размерных групп для корректного составления.  Индекс качества городской среды доступен для большинства городов страны, начиная с 2018 г.  На Северо-Западе России </w:t>
      </w:r>
      <w:proofErr w:type="gramStart"/>
      <w:r w:rsidRPr="00DC5185">
        <w:rPr>
          <w:rFonts w:ascii="Times New Roman" w:hAnsi="Times New Roman" w:cs="Times New Roman"/>
        </w:rPr>
        <w:t>лидерами</w:t>
      </w:r>
      <w:proofErr w:type="gramEnd"/>
      <w:r w:rsidRPr="00DC5185">
        <w:rPr>
          <w:rFonts w:ascii="Times New Roman" w:hAnsi="Times New Roman" w:cs="Times New Roman"/>
        </w:rPr>
        <w:t xml:space="preserve"> как по достигнутым значениям данного индекса, так и по их динамике (тенденциям изменения качества городской среды) являются Великий Новгород, Ухта, Калининград, Череповец, Гатчина и Псков</w:t>
      </w:r>
      <w:r w:rsidR="004A14DD" w:rsidRPr="00DC5185">
        <w:rPr>
          <w:rFonts w:ascii="Times New Roman" w:hAnsi="Times New Roman" w:cs="Times New Roman"/>
        </w:rPr>
        <w:t>.</w:t>
      </w:r>
      <w:r w:rsidR="005B3935" w:rsidRPr="00DC5185">
        <w:rPr>
          <w:rFonts w:ascii="Times New Roman" w:hAnsi="Times New Roman" w:cs="Times New Roman"/>
        </w:rPr>
        <w:t xml:space="preserve"> </w:t>
      </w:r>
    </w:p>
    <w:p w:rsidR="00361D8E" w:rsidRPr="00DC5185" w:rsidRDefault="009A54D1" w:rsidP="00BF519C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DC5185">
        <w:rPr>
          <w:rFonts w:ascii="Times New Roman" w:hAnsi="Times New Roman" w:cs="Times New Roman"/>
        </w:rPr>
        <w:t xml:space="preserve">Бюджетные показатели также </w:t>
      </w:r>
      <w:r w:rsidR="003C497D" w:rsidRPr="00DC5185">
        <w:rPr>
          <w:rFonts w:ascii="Times New Roman" w:hAnsi="Times New Roman" w:cs="Times New Roman"/>
        </w:rPr>
        <w:t xml:space="preserve">занимают важное место </w:t>
      </w:r>
      <w:r w:rsidR="00B315E4" w:rsidRPr="00DC5185">
        <w:rPr>
          <w:rFonts w:ascii="Times New Roman" w:hAnsi="Times New Roman" w:cs="Times New Roman"/>
        </w:rPr>
        <w:t>в процессе ранжирования городов Северо-Запада</w:t>
      </w:r>
      <w:r w:rsidR="003C497D" w:rsidRPr="00DC5185">
        <w:rPr>
          <w:rFonts w:ascii="Times New Roman" w:hAnsi="Times New Roman" w:cs="Times New Roman"/>
        </w:rPr>
        <w:t xml:space="preserve">, </w:t>
      </w:r>
      <w:r w:rsidR="00445A78" w:rsidRPr="00DC5185">
        <w:rPr>
          <w:rFonts w:ascii="Times New Roman" w:hAnsi="Times New Roman" w:cs="Times New Roman"/>
        </w:rPr>
        <w:t>поскольку бюджетные доходы и безвозмездные поступления из вышестоящих бюджетов (региональных и федерального) позволяют городским администрациям финансировать предоставление ключевых муниципальных услуг.</w:t>
      </w:r>
    </w:p>
    <w:p w:rsidR="00445A78" w:rsidRPr="00DC5185" w:rsidRDefault="00973703" w:rsidP="00BF519C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C5185">
        <w:rPr>
          <w:rFonts w:ascii="Times New Roman" w:hAnsi="Times New Roman" w:cs="Times New Roman"/>
        </w:rPr>
        <w:t xml:space="preserve">Экономический кризис 2014-2015 годов, а </w:t>
      </w:r>
      <w:r w:rsidR="00E97CBC" w:rsidRPr="00DC5185">
        <w:rPr>
          <w:rFonts w:ascii="Times New Roman" w:hAnsi="Times New Roman" w:cs="Times New Roman"/>
        </w:rPr>
        <w:t>также изменения бюджетного законодательства 2014 года (в частности, нормативы зачисления налога на доходы физических лиц</w:t>
      </w:r>
      <w:r w:rsidR="00E01ADF" w:rsidRPr="00DC5185">
        <w:rPr>
          <w:rFonts w:ascii="Times New Roman" w:hAnsi="Times New Roman" w:cs="Times New Roman"/>
        </w:rPr>
        <w:t xml:space="preserve"> </w:t>
      </w:r>
      <w:r w:rsidR="00FB32A1" w:rsidRPr="00DC5185">
        <w:rPr>
          <w:rFonts w:ascii="Times New Roman" w:hAnsi="Times New Roman" w:cs="Times New Roman"/>
        </w:rPr>
        <w:t xml:space="preserve">в бюджеты </w:t>
      </w:r>
      <w:r w:rsidR="00E01ADF" w:rsidRPr="00DC5185">
        <w:rPr>
          <w:rFonts w:ascii="Times New Roman" w:hAnsi="Times New Roman" w:cs="Times New Roman"/>
        </w:rPr>
        <w:t>городских округов</w:t>
      </w:r>
      <w:r w:rsidR="00E97CBC" w:rsidRPr="00DC5185">
        <w:rPr>
          <w:rFonts w:ascii="Times New Roman" w:hAnsi="Times New Roman" w:cs="Times New Roman"/>
        </w:rPr>
        <w:t xml:space="preserve"> </w:t>
      </w:r>
      <w:r w:rsidR="00361D8E" w:rsidRPr="00DC5185">
        <w:rPr>
          <w:rFonts w:ascii="Times New Roman" w:hAnsi="Times New Roman" w:cs="Times New Roman"/>
        </w:rPr>
        <w:t>в соответствии с Федеральным законом от 23.07.2013 N 252-ФЗ</w:t>
      </w:r>
      <w:r w:rsidR="003E6CDC" w:rsidRPr="00DC5185">
        <w:rPr>
          <w:rFonts w:ascii="Times New Roman" w:hAnsi="Times New Roman" w:cs="Times New Roman"/>
        </w:rPr>
        <w:t xml:space="preserve"> сократились с 20% до 15%</w:t>
      </w:r>
      <w:r w:rsidR="00E97CBC" w:rsidRPr="00DC5185">
        <w:rPr>
          <w:rFonts w:ascii="Times New Roman" w:hAnsi="Times New Roman" w:cs="Times New Roman"/>
        </w:rPr>
        <w:t>)</w:t>
      </w:r>
      <w:r w:rsidR="00DC7CD6" w:rsidRPr="00DC5185">
        <w:rPr>
          <w:rFonts w:ascii="Times New Roman" w:hAnsi="Times New Roman" w:cs="Times New Roman"/>
        </w:rPr>
        <w:t xml:space="preserve"> привели к сокращению среднедушевых бюджетных доходов с 44,6 тыс. рублей в 2013 году до 36,2 тыс. рублей в 2015 году.</w:t>
      </w:r>
      <w:proofErr w:type="gramEnd"/>
      <w:r w:rsidR="003E6CDC" w:rsidRPr="00DC5185">
        <w:rPr>
          <w:rFonts w:ascii="Times New Roman" w:hAnsi="Times New Roman" w:cs="Times New Roman"/>
        </w:rPr>
        <w:t xml:space="preserve"> С 2015 до 2020 года среднедушевые доходы</w:t>
      </w:r>
      <w:r w:rsidR="00AE629A" w:rsidRPr="00DC5185">
        <w:rPr>
          <w:rFonts w:ascii="Times New Roman" w:hAnsi="Times New Roman" w:cs="Times New Roman"/>
        </w:rPr>
        <w:t xml:space="preserve"> в городах нашей выборки</w:t>
      </w:r>
      <w:r w:rsidR="003E6CDC" w:rsidRPr="00DC5185">
        <w:rPr>
          <w:rFonts w:ascii="Times New Roman" w:hAnsi="Times New Roman" w:cs="Times New Roman"/>
        </w:rPr>
        <w:t xml:space="preserve"> </w:t>
      </w:r>
      <w:r w:rsidR="00AE629A" w:rsidRPr="00DC5185">
        <w:rPr>
          <w:rFonts w:ascii="Times New Roman" w:hAnsi="Times New Roman" w:cs="Times New Roman"/>
        </w:rPr>
        <w:t>увеличивались, а в 2021-2022 годах несколько уменьшились,</w:t>
      </w:r>
      <w:r w:rsidR="0071451E" w:rsidRPr="00DC5185">
        <w:rPr>
          <w:rFonts w:ascii="Times New Roman" w:hAnsi="Times New Roman" w:cs="Times New Roman"/>
        </w:rPr>
        <w:t xml:space="preserve"> что свидетельствует о наметив</w:t>
      </w:r>
      <w:r w:rsidR="007330D4" w:rsidRPr="00DC5185">
        <w:rPr>
          <w:rFonts w:ascii="Times New Roman" w:hAnsi="Times New Roman" w:cs="Times New Roman"/>
        </w:rPr>
        <w:t>ше</w:t>
      </w:r>
      <w:r w:rsidR="00801804" w:rsidRPr="00DC5185">
        <w:rPr>
          <w:rFonts w:ascii="Times New Roman" w:hAnsi="Times New Roman" w:cs="Times New Roman"/>
        </w:rPr>
        <w:t>й</w:t>
      </w:r>
      <w:r w:rsidR="007330D4" w:rsidRPr="00DC5185">
        <w:rPr>
          <w:rFonts w:ascii="Times New Roman" w:hAnsi="Times New Roman" w:cs="Times New Roman"/>
        </w:rPr>
        <w:t xml:space="preserve">ся в </w:t>
      </w:r>
      <w:proofErr w:type="spellStart"/>
      <w:r w:rsidR="007330D4" w:rsidRPr="00DC5185">
        <w:rPr>
          <w:rFonts w:ascii="Times New Roman" w:hAnsi="Times New Roman" w:cs="Times New Roman"/>
        </w:rPr>
        <w:t>постпандемийный</w:t>
      </w:r>
      <w:proofErr w:type="spellEnd"/>
      <w:r w:rsidR="007330D4" w:rsidRPr="00DC5185">
        <w:rPr>
          <w:rFonts w:ascii="Times New Roman" w:hAnsi="Times New Roman" w:cs="Times New Roman"/>
        </w:rPr>
        <w:t xml:space="preserve"> период </w:t>
      </w:r>
      <w:proofErr w:type="spellStart"/>
      <w:r w:rsidR="007330D4" w:rsidRPr="00DC5185">
        <w:rPr>
          <w:rFonts w:ascii="Times New Roman" w:hAnsi="Times New Roman" w:cs="Times New Roman"/>
        </w:rPr>
        <w:t>стагнирующей</w:t>
      </w:r>
      <w:proofErr w:type="spellEnd"/>
      <w:r w:rsidR="007330D4" w:rsidRPr="00DC5185">
        <w:rPr>
          <w:rFonts w:ascii="Times New Roman" w:hAnsi="Times New Roman" w:cs="Times New Roman"/>
        </w:rPr>
        <w:t xml:space="preserve"> тенденции.</w:t>
      </w:r>
    </w:p>
    <w:p w:rsidR="009C6888" w:rsidRPr="00A81016" w:rsidRDefault="007330D4" w:rsidP="00BF519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5185">
        <w:rPr>
          <w:rFonts w:ascii="Times New Roman" w:hAnsi="Times New Roman" w:cs="Times New Roman"/>
        </w:rPr>
        <w:t>Данные о средней зависимости бюджетов городов Северо-Запада от безвозмездных поступлений из других бюджетов бюджетной системы РФ</w:t>
      </w:r>
      <w:r w:rsidR="00B3608E" w:rsidRPr="00DC5185">
        <w:rPr>
          <w:rFonts w:ascii="Times New Roman" w:hAnsi="Times New Roman" w:cs="Times New Roman"/>
        </w:rPr>
        <w:t xml:space="preserve"> представлены на рисунке 8. Характерной тенденцией </w:t>
      </w:r>
      <w:r w:rsidR="007F0F34" w:rsidRPr="00DC5185">
        <w:rPr>
          <w:rFonts w:ascii="Times New Roman" w:hAnsi="Times New Roman" w:cs="Times New Roman"/>
        </w:rPr>
        <w:t xml:space="preserve">для периода 2012-2022 годов было увеличение трансфертной зависимости муниципальных образований. </w:t>
      </w:r>
      <w:proofErr w:type="gramStart"/>
      <w:r w:rsidR="007F0F34" w:rsidRPr="00DC5185">
        <w:rPr>
          <w:rFonts w:ascii="Times New Roman" w:hAnsi="Times New Roman" w:cs="Times New Roman"/>
        </w:rPr>
        <w:t xml:space="preserve">Если в 2012 году </w:t>
      </w:r>
      <w:r w:rsidR="00243BE4" w:rsidRPr="00DC5185">
        <w:rPr>
          <w:rFonts w:ascii="Times New Roman" w:hAnsi="Times New Roman" w:cs="Times New Roman"/>
        </w:rPr>
        <w:t xml:space="preserve">бюджеты </w:t>
      </w:r>
      <w:r w:rsidR="007F0F34" w:rsidRPr="00DC5185">
        <w:rPr>
          <w:rFonts w:ascii="Times New Roman" w:hAnsi="Times New Roman" w:cs="Times New Roman"/>
        </w:rPr>
        <w:t>город</w:t>
      </w:r>
      <w:r w:rsidR="00243BE4" w:rsidRPr="00DC5185">
        <w:rPr>
          <w:rFonts w:ascii="Times New Roman" w:hAnsi="Times New Roman" w:cs="Times New Roman"/>
        </w:rPr>
        <w:t>ов</w:t>
      </w:r>
      <w:r w:rsidR="007F0F34" w:rsidRPr="00DC5185">
        <w:rPr>
          <w:rFonts w:ascii="Times New Roman" w:hAnsi="Times New Roman" w:cs="Times New Roman"/>
        </w:rPr>
        <w:t xml:space="preserve"> Северо-Запада из нашей выборки</w:t>
      </w:r>
      <w:r w:rsidR="00243BE4" w:rsidRPr="00DC5185">
        <w:rPr>
          <w:rFonts w:ascii="Times New Roman" w:hAnsi="Times New Roman" w:cs="Times New Roman"/>
        </w:rPr>
        <w:t xml:space="preserve"> на 49% </w:t>
      </w:r>
      <w:r w:rsidR="00FA42B7" w:rsidRPr="00DC5185">
        <w:rPr>
          <w:rFonts w:ascii="Times New Roman" w:hAnsi="Times New Roman" w:cs="Times New Roman"/>
        </w:rPr>
        <w:t>зависели от</w:t>
      </w:r>
      <w:r w:rsidR="00243BE4" w:rsidRPr="00DC5185">
        <w:rPr>
          <w:rFonts w:ascii="Times New Roman" w:hAnsi="Times New Roman" w:cs="Times New Roman"/>
        </w:rPr>
        <w:t xml:space="preserve"> безвозмездных поступлений</w:t>
      </w:r>
      <w:r w:rsidR="00BB3C1E" w:rsidRPr="00DC5185">
        <w:rPr>
          <w:rFonts w:ascii="Times New Roman" w:hAnsi="Times New Roman" w:cs="Times New Roman"/>
        </w:rPr>
        <w:t xml:space="preserve"> из бюджетов вышестоящих уровней</w:t>
      </w:r>
      <w:r w:rsidR="00243BE4" w:rsidRPr="00DC5185">
        <w:rPr>
          <w:rFonts w:ascii="Times New Roman" w:hAnsi="Times New Roman" w:cs="Times New Roman"/>
        </w:rPr>
        <w:t xml:space="preserve">, к 2022 году данный показатель уже превышал 63%. </w:t>
      </w:r>
      <w:r w:rsidR="00BB3C1E" w:rsidRPr="00DC5185">
        <w:rPr>
          <w:rFonts w:ascii="Times New Roman" w:hAnsi="Times New Roman" w:cs="Times New Roman"/>
        </w:rPr>
        <w:t>Такое резкое увеличение трансфертной зависимости было обусловлено, как и в случае со среднедушевыми доходами, с уменьшением норматива зачисления налога на доходы физических лиц в бюджеты городских округов, а также с увеличением расходов</w:t>
      </w:r>
      <w:proofErr w:type="gramEnd"/>
      <w:r w:rsidR="00BB3C1E" w:rsidRPr="00DC5185">
        <w:rPr>
          <w:rFonts w:ascii="Times New Roman" w:hAnsi="Times New Roman" w:cs="Times New Roman"/>
        </w:rPr>
        <w:t xml:space="preserve"> на предоставление муниципальных </w:t>
      </w:r>
      <w:r w:rsidR="00096CB0" w:rsidRPr="00DC5185">
        <w:rPr>
          <w:rFonts w:ascii="Times New Roman" w:hAnsi="Times New Roman" w:cs="Times New Roman"/>
        </w:rPr>
        <w:t>услуг</w:t>
      </w:r>
      <w:r w:rsidR="00096CB0" w:rsidRPr="00DC5185">
        <w:rPr>
          <w:rFonts w:ascii="Times New Roman" w:hAnsi="Times New Roman" w:cs="Times New Roman"/>
          <w:color w:val="00B050"/>
        </w:rPr>
        <w:t xml:space="preserve">. </w:t>
      </w:r>
      <w:r w:rsidR="00096CB0" w:rsidRPr="00DC5185">
        <w:rPr>
          <w:rFonts w:ascii="Times New Roman" w:hAnsi="Times New Roman" w:cs="Times New Roman"/>
        </w:rPr>
        <w:t xml:space="preserve">Данная тенденция была характерна не только для городов Северо-Запада, но для всех городских округов Российской Федерации (исключениями стали лишь </w:t>
      </w:r>
      <w:r w:rsidR="00DE743B" w:rsidRPr="00DC5185">
        <w:rPr>
          <w:rFonts w:ascii="Times New Roman" w:hAnsi="Times New Roman" w:cs="Times New Roman"/>
        </w:rPr>
        <w:t>города федерального значени</w:t>
      </w:r>
      <w:r w:rsidR="00C23B06" w:rsidRPr="00DC5185">
        <w:rPr>
          <w:rFonts w:ascii="Times New Roman" w:hAnsi="Times New Roman" w:cs="Times New Roman"/>
        </w:rPr>
        <w:t>я</w:t>
      </w:r>
      <w:r w:rsidR="00DE743B" w:rsidRPr="00DC5185">
        <w:rPr>
          <w:rFonts w:ascii="Times New Roman" w:hAnsi="Times New Roman" w:cs="Times New Roman"/>
        </w:rPr>
        <w:t xml:space="preserve">, которые являются субъектами Российской Федерации и имеют значительно отличающуюся от городских округов структуру </w:t>
      </w:r>
      <w:r w:rsidR="009E34B3" w:rsidRPr="00DC5185">
        <w:rPr>
          <w:rFonts w:ascii="Times New Roman" w:hAnsi="Times New Roman" w:cs="Times New Roman"/>
        </w:rPr>
        <w:t xml:space="preserve">бюджетных </w:t>
      </w:r>
      <w:r w:rsidR="00DE743B" w:rsidRPr="00DC5185">
        <w:rPr>
          <w:rFonts w:ascii="Times New Roman" w:hAnsi="Times New Roman" w:cs="Times New Roman"/>
        </w:rPr>
        <w:t>доходов</w:t>
      </w:r>
      <w:r w:rsidR="00096CB0" w:rsidRPr="00DC5185">
        <w:rPr>
          <w:rFonts w:ascii="Times New Roman" w:hAnsi="Times New Roman" w:cs="Times New Roman"/>
        </w:rPr>
        <w:t>)</w:t>
      </w:r>
      <w:r w:rsidR="00DE743B" w:rsidRPr="00DC5185">
        <w:rPr>
          <w:rFonts w:ascii="Times New Roman" w:hAnsi="Times New Roman" w:cs="Times New Roman"/>
        </w:rPr>
        <w:t xml:space="preserve">. </w:t>
      </w:r>
      <w:r w:rsidR="00EF3B5A" w:rsidRPr="00DC5185">
        <w:rPr>
          <w:rFonts w:ascii="Times New Roman" w:hAnsi="Times New Roman" w:cs="Times New Roman"/>
        </w:rPr>
        <w:t>Такой уровень зависимости муниципалитетов от безвозмездной помощи не является типичным для крупнейших федераций. Так, согласно базе данных ОЭСР,</w:t>
      </w:r>
      <w:r w:rsidR="00EF3B5A" w:rsidRPr="00DC5185">
        <w:rPr>
          <w:rStyle w:val="ad"/>
          <w:rFonts w:ascii="Times New Roman" w:hAnsi="Times New Roman" w:cs="Times New Roman"/>
        </w:rPr>
        <w:footnoteReference w:id="1"/>
      </w:r>
      <w:r w:rsidR="00EF3B5A" w:rsidRPr="00DC5185">
        <w:rPr>
          <w:rFonts w:ascii="Times New Roman" w:hAnsi="Times New Roman" w:cs="Times New Roman"/>
        </w:rPr>
        <w:t xml:space="preserve"> </w:t>
      </w:r>
      <w:r w:rsidR="003100C1" w:rsidRPr="00DC5185">
        <w:rPr>
          <w:rFonts w:ascii="Times New Roman" w:hAnsi="Times New Roman" w:cs="Times New Roman"/>
        </w:rPr>
        <w:t xml:space="preserve">средняя доля межбюджетных трансфертов в доходах муниципалитетов составляет чуть более 10% в Швейцарии, 31% в США, 38% в Испании, 41% в Германии, </w:t>
      </w:r>
      <w:r w:rsidR="00B27B41" w:rsidRPr="00DC5185">
        <w:rPr>
          <w:rFonts w:ascii="Times New Roman" w:hAnsi="Times New Roman" w:cs="Times New Roman"/>
        </w:rPr>
        <w:t xml:space="preserve">48% в Канаде. В развивающихся федерациях (Бразилия, Индия, </w:t>
      </w:r>
      <w:r w:rsidR="00F26F98" w:rsidRPr="00DC5185">
        <w:rPr>
          <w:rFonts w:ascii="Times New Roman" w:hAnsi="Times New Roman" w:cs="Times New Roman"/>
        </w:rPr>
        <w:t>Аргентина</w:t>
      </w:r>
      <w:r w:rsidR="00B27B41" w:rsidRPr="00DC5185">
        <w:rPr>
          <w:rFonts w:ascii="Times New Roman" w:hAnsi="Times New Roman" w:cs="Times New Roman"/>
        </w:rPr>
        <w:t>) данный показатель</w:t>
      </w:r>
      <w:r w:rsidR="00F26F98" w:rsidRPr="00DC5185">
        <w:rPr>
          <w:rFonts w:ascii="Times New Roman" w:hAnsi="Times New Roman" w:cs="Times New Roman"/>
        </w:rPr>
        <w:t xml:space="preserve"> также значительно ниже российского.</w:t>
      </w:r>
      <w:r w:rsidR="00935371" w:rsidRPr="00DC5185">
        <w:rPr>
          <w:rFonts w:ascii="Times New Roman" w:hAnsi="Times New Roman" w:cs="Times New Roman"/>
        </w:rPr>
        <w:t xml:space="preserve"> Среди всех федераций похожий уровень зависимости муниципалитетов характерен только для Австрии (64%).</w:t>
      </w:r>
      <w:r w:rsidR="00F26F98" w:rsidRPr="00DC5185">
        <w:rPr>
          <w:rFonts w:ascii="Times New Roman" w:hAnsi="Times New Roman" w:cs="Times New Roman"/>
        </w:rPr>
        <w:t xml:space="preserve"> Без увеличения бюджетной автономии муниципалитетов</w:t>
      </w:r>
      <w:r w:rsidR="00935371" w:rsidRPr="00DC5185">
        <w:rPr>
          <w:rFonts w:ascii="Times New Roman" w:hAnsi="Times New Roman" w:cs="Times New Roman"/>
        </w:rPr>
        <w:t xml:space="preserve"> и </w:t>
      </w:r>
      <w:r w:rsidR="009D7C68" w:rsidRPr="00DC5185">
        <w:rPr>
          <w:rFonts w:ascii="Times New Roman" w:hAnsi="Times New Roman" w:cs="Times New Roman"/>
        </w:rPr>
        <w:t xml:space="preserve">повышения их собственной доходной базы (в частности, за счет перераспределения </w:t>
      </w:r>
      <w:r w:rsidR="006E2B73" w:rsidRPr="00DC5185">
        <w:rPr>
          <w:rFonts w:ascii="Times New Roman" w:hAnsi="Times New Roman" w:cs="Times New Roman"/>
        </w:rPr>
        <w:t>подоходного налога или реформирования системы</w:t>
      </w:r>
      <w:r w:rsidR="006E2B73" w:rsidRPr="00A81016">
        <w:rPr>
          <w:rFonts w:ascii="Times New Roman" w:hAnsi="Times New Roman" w:cs="Times New Roman"/>
          <w:sz w:val="24"/>
          <w:szCs w:val="24"/>
        </w:rPr>
        <w:t xml:space="preserve"> налогообложения имущества физических лиц</w:t>
      </w:r>
      <w:r w:rsidR="009D7C68" w:rsidRPr="00A81016">
        <w:rPr>
          <w:rFonts w:ascii="Times New Roman" w:hAnsi="Times New Roman" w:cs="Times New Roman"/>
          <w:sz w:val="24"/>
          <w:szCs w:val="24"/>
        </w:rPr>
        <w:t>)</w:t>
      </w:r>
      <w:r w:rsidR="00F26F98" w:rsidRPr="00A81016">
        <w:rPr>
          <w:rFonts w:ascii="Times New Roman" w:hAnsi="Times New Roman" w:cs="Times New Roman"/>
          <w:sz w:val="24"/>
          <w:szCs w:val="24"/>
        </w:rPr>
        <w:t xml:space="preserve"> </w:t>
      </w:r>
      <w:r w:rsidR="00B136E2" w:rsidRPr="00A81016">
        <w:rPr>
          <w:rFonts w:ascii="Times New Roman" w:hAnsi="Times New Roman" w:cs="Times New Roman"/>
          <w:sz w:val="24"/>
          <w:szCs w:val="24"/>
        </w:rPr>
        <w:t>развити</w:t>
      </w:r>
      <w:r w:rsidR="009D7C68" w:rsidRPr="00A81016">
        <w:rPr>
          <w:rFonts w:ascii="Times New Roman" w:hAnsi="Times New Roman" w:cs="Times New Roman"/>
          <w:sz w:val="24"/>
          <w:szCs w:val="24"/>
        </w:rPr>
        <w:t>е</w:t>
      </w:r>
      <w:r w:rsidR="00B136E2" w:rsidRPr="00A81016">
        <w:rPr>
          <w:rFonts w:ascii="Times New Roman" w:hAnsi="Times New Roman" w:cs="Times New Roman"/>
          <w:sz w:val="24"/>
          <w:szCs w:val="24"/>
        </w:rPr>
        <w:t xml:space="preserve"> принципов бюджетного федерализма является довольно проблематичным.</w:t>
      </w:r>
    </w:p>
    <w:p w:rsidR="00703994" w:rsidRPr="00DC5185" w:rsidRDefault="00A95944" w:rsidP="00BF519C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DC5185">
        <w:rPr>
          <w:rFonts w:ascii="Times New Roman" w:hAnsi="Times New Roman" w:cs="Times New Roman"/>
        </w:rPr>
        <w:t>Также следует отметить, что в структуре безвозмездной помощи с 2014 года стали преобладать субвенции</w:t>
      </w:r>
      <w:r w:rsidR="001F2EEE" w:rsidRPr="00DC5185">
        <w:rPr>
          <w:rFonts w:ascii="Times New Roman" w:hAnsi="Times New Roman" w:cs="Times New Roman"/>
        </w:rPr>
        <w:t xml:space="preserve">, занимая более 40% всех трансфертов, предоставляемых городам Северо-Запада. </w:t>
      </w:r>
      <w:r w:rsidR="008D6533" w:rsidRPr="00DC5185">
        <w:rPr>
          <w:rFonts w:ascii="Times New Roman" w:hAnsi="Times New Roman" w:cs="Times New Roman"/>
        </w:rPr>
        <w:t>Такое положение дел не является оптимальным, поскольку субвенции предоставляются регионами</w:t>
      </w:r>
      <w:r w:rsidR="00434873" w:rsidRPr="00DC5185">
        <w:rPr>
          <w:rFonts w:ascii="Times New Roman" w:hAnsi="Times New Roman" w:cs="Times New Roman"/>
        </w:rPr>
        <w:t xml:space="preserve"> на финансирование </w:t>
      </w:r>
      <w:r w:rsidR="009C6888" w:rsidRPr="00DC5185">
        <w:rPr>
          <w:rFonts w:ascii="Times New Roman" w:hAnsi="Times New Roman" w:cs="Times New Roman"/>
        </w:rPr>
        <w:t xml:space="preserve">переданных (делегированных) полномочий, не являющихся собственными расходными полномочиями муниципалитетов. </w:t>
      </w:r>
      <w:r w:rsidR="009E34B3" w:rsidRPr="00DC5185">
        <w:rPr>
          <w:rFonts w:ascii="Times New Roman" w:hAnsi="Times New Roman" w:cs="Times New Roman"/>
        </w:rPr>
        <w:t xml:space="preserve">Таким образом, за последнее десятилетие сократилась не только доходная, но и расходная </w:t>
      </w:r>
      <w:r w:rsidR="00703994" w:rsidRPr="00DC5185">
        <w:rPr>
          <w:rFonts w:ascii="Times New Roman" w:hAnsi="Times New Roman" w:cs="Times New Roman"/>
        </w:rPr>
        <w:t>ав</w:t>
      </w:r>
      <w:r w:rsidR="009E34B3" w:rsidRPr="00DC5185">
        <w:rPr>
          <w:rFonts w:ascii="Times New Roman" w:hAnsi="Times New Roman" w:cs="Times New Roman"/>
        </w:rPr>
        <w:t>тономия городов Северо-Запада.</w:t>
      </w:r>
    </w:p>
    <w:p w:rsidR="00643D72" w:rsidRDefault="00EB090A" w:rsidP="00703994">
      <w:pPr>
        <w:spacing w:line="360" w:lineRule="auto"/>
        <w:ind w:firstLine="708"/>
        <w:jc w:val="both"/>
        <w:rPr>
          <w:rFonts w:ascii="Times New Roman" w:hAnsi="Times New Roman" w:cs="Times New Roman"/>
          <w:color w:val="0E2D47"/>
          <w:sz w:val="24"/>
          <w:szCs w:val="24"/>
          <w:shd w:val="clear" w:color="auto" w:fill="FFFFFF"/>
        </w:rPr>
      </w:pPr>
      <w:r w:rsidRPr="00EB090A">
        <w:rPr>
          <w:rFonts w:ascii="Times New Roman" w:hAnsi="Times New Roman" w:cs="Times New Roman"/>
          <w:noProof/>
          <w:color w:val="0E2D47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4629150" cy="2353945"/>
            <wp:effectExtent l="0" t="0" r="0" b="8255"/>
            <wp:docPr id="8" name="Диаграмма 8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CC89E7A-D004-A047-C38B-C670FA6C96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B090A" w:rsidRPr="00DC5185" w:rsidRDefault="00EB090A" w:rsidP="00EB090A">
      <w:pPr>
        <w:jc w:val="both"/>
        <w:rPr>
          <w:rFonts w:ascii="Times New Roman" w:hAnsi="Times New Roman" w:cs="Times New Roman"/>
          <w:b/>
          <w:bCs/>
          <w:color w:val="0E2D47"/>
          <w:sz w:val="20"/>
          <w:szCs w:val="20"/>
          <w:shd w:val="clear" w:color="auto" w:fill="FFFFFF"/>
        </w:rPr>
      </w:pPr>
      <w:r w:rsidRPr="00DC5185">
        <w:rPr>
          <w:rFonts w:ascii="Times New Roman" w:hAnsi="Times New Roman" w:cs="Times New Roman"/>
          <w:b/>
          <w:color w:val="0E2D47"/>
          <w:sz w:val="20"/>
          <w:szCs w:val="20"/>
          <w:shd w:val="clear" w:color="auto" w:fill="FFFFFF"/>
        </w:rPr>
        <w:t xml:space="preserve">Рисунок 8 - </w:t>
      </w:r>
      <w:r w:rsidRPr="00DC5185">
        <w:rPr>
          <w:rFonts w:ascii="Times New Roman" w:hAnsi="Times New Roman" w:cs="Times New Roman"/>
          <w:b/>
          <w:bCs/>
          <w:color w:val="0E2D47"/>
          <w:sz w:val="20"/>
          <w:szCs w:val="20"/>
          <w:shd w:val="clear" w:color="auto" w:fill="FFFFFF"/>
        </w:rPr>
        <w:t>Средняя зависимость бюджетов городов Северо-Запада от безвозмездных поступлений, %</w:t>
      </w:r>
    </w:p>
    <w:p w:rsidR="00935371" w:rsidRPr="00DC5185" w:rsidRDefault="00BA5F93" w:rsidP="00BF519C">
      <w:pPr>
        <w:spacing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>Еще одним важным показателем является бюджетн</w:t>
      </w:r>
      <w:r w:rsidR="00CF35D7" w:rsidRPr="00DC5185">
        <w:rPr>
          <w:rFonts w:ascii="Times New Roman" w:hAnsi="Times New Roman" w:cs="Times New Roman"/>
          <w:shd w:val="clear" w:color="auto" w:fill="FFFFFF"/>
        </w:rPr>
        <w:t>ый дефицит/профицит</w:t>
      </w:r>
      <w:r w:rsidRPr="00DC5185">
        <w:rPr>
          <w:rFonts w:ascii="Times New Roman" w:hAnsi="Times New Roman" w:cs="Times New Roman"/>
          <w:shd w:val="clear" w:color="auto" w:fill="FFFFFF"/>
        </w:rPr>
        <w:t>.</w:t>
      </w:r>
      <w:r w:rsidR="00F50F60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="00F50F60" w:rsidRPr="00DC5185">
        <w:rPr>
          <w:rFonts w:ascii="Times New Roman" w:hAnsi="Times New Roman" w:cs="Times New Roman"/>
          <w:shd w:val="clear" w:color="auto" w:fill="FFFFFF"/>
        </w:rPr>
        <w:t>За последние 11 лет было только три года</w:t>
      </w:r>
      <w:r w:rsidR="00725F9F" w:rsidRPr="00DC5185">
        <w:rPr>
          <w:rFonts w:ascii="Times New Roman" w:hAnsi="Times New Roman" w:cs="Times New Roman"/>
          <w:shd w:val="clear" w:color="auto" w:fill="FFFFFF"/>
        </w:rPr>
        <w:t xml:space="preserve"> (2017, 2018 и 2022)</w:t>
      </w:r>
      <w:r w:rsidR="00F50F60" w:rsidRPr="00DC5185">
        <w:rPr>
          <w:rFonts w:ascii="Times New Roman" w:hAnsi="Times New Roman" w:cs="Times New Roman"/>
          <w:shd w:val="clear" w:color="auto" w:fill="FFFFFF"/>
        </w:rPr>
        <w:t xml:space="preserve">, когда </w:t>
      </w:r>
      <w:r w:rsidR="00725F9F" w:rsidRPr="00DC5185">
        <w:rPr>
          <w:rFonts w:ascii="Times New Roman" w:hAnsi="Times New Roman" w:cs="Times New Roman"/>
          <w:shd w:val="clear" w:color="auto" w:fill="FFFFFF"/>
        </w:rPr>
        <w:t xml:space="preserve">в городах Северо-Запада наблюдался </w:t>
      </w:r>
      <w:r w:rsidR="00D7633A" w:rsidRPr="00DC5185">
        <w:rPr>
          <w:rFonts w:ascii="Times New Roman" w:hAnsi="Times New Roman" w:cs="Times New Roman"/>
          <w:shd w:val="clear" w:color="auto" w:fill="FFFFFF"/>
        </w:rPr>
        <w:t xml:space="preserve">среднедушевой </w:t>
      </w:r>
      <w:r w:rsidR="00725F9F" w:rsidRPr="00DC5185">
        <w:rPr>
          <w:rFonts w:ascii="Times New Roman" w:hAnsi="Times New Roman" w:cs="Times New Roman"/>
          <w:shd w:val="clear" w:color="auto" w:fill="FFFFFF"/>
        </w:rPr>
        <w:t>профицит бюджета.</w:t>
      </w:r>
      <w:proofErr w:type="gramEnd"/>
      <w:r w:rsidR="00D7633A" w:rsidRPr="00DC5185">
        <w:rPr>
          <w:rFonts w:ascii="Times New Roman" w:hAnsi="Times New Roman" w:cs="Times New Roman"/>
          <w:shd w:val="clear" w:color="auto" w:fill="FFFFFF"/>
        </w:rPr>
        <w:t xml:space="preserve"> В остальные годы </w:t>
      </w:r>
      <w:r w:rsidR="00E53F9E" w:rsidRPr="00DC5185">
        <w:rPr>
          <w:rFonts w:ascii="Times New Roman" w:hAnsi="Times New Roman" w:cs="Times New Roman"/>
          <w:shd w:val="clear" w:color="auto" w:fill="FFFFFF"/>
        </w:rPr>
        <w:t>средний бюджет городов из нашей выборки был дефицитным (наибольший дефицит наблюдался в 201</w:t>
      </w:r>
      <w:r w:rsidR="00F47050" w:rsidRPr="00DC5185">
        <w:rPr>
          <w:rFonts w:ascii="Times New Roman" w:hAnsi="Times New Roman" w:cs="Times New Roman"/>
          <w:shd w:val="clear" w:color="auto" w:fill="FFFFFF"/>
        </w:rPr>
        <w:t>4, 2012 и 2016 годах</w:t>
      </w:r>
      <w:r w:rsidR="00E53F9E" w:rsidRPr="00DC5185">
        <w:rPr>
          <w:rFonts w:ascii="Times New Roman" w:hAnsi="Times New Roman" w:cs="Times New Roman"/>
          <w:shd w:val="clear" w:color="auto" w:fill="FFFFFF"/>
        </w:rPr>
        <w:t>).</w:t>
      </w:r>
      <w:r w:rsidR="00F47050" w:rsidRPr="00DC5185">
        <w:rPr>
          <w:rFonts w:ascii="Times New Roman" w:hAnsi="Times New Roman" w:cs="Times New Roman"/>
          <w:shd w:val="clear" w:color="auto" w:fill="FFFFFF"/>
        </w:rPr>
        <w:t xml:space="preserve"> Несмотря на то, что уровень долговой зависимости российских муниципалитетов является крайне низким (а в структуре долга преобладают бюджетные кредиты, которые могут быть в ближайшие годы списаны)</w:t>
      </w:r>
      <w:r w:rsidR="00A93F1E" w:rsidRPr="00DC5185">
        <w:rPr>
          <w:rFonts w:ascii="Times New Roman" w:hAnsi="Times New Roman" w:cs="Times New Roman"/>
          <w:shd w:val="clear" w:color="auto" w:fill="FFFFFF"/>
        </w:rPr>
        <w:t xml:space="preserve">, </w:t>
      </w:r>
      <w:r w:rsidR="00962A31" w:rsidRPr="00DC5185">
        <w:rPr>
          <w:rFonts w:ascii="Times New Roman" w:hAnsi="Times New Roman" w:cs="Times New Roman"/>
          <w:shd w:val="clear" w:color="auto" w:fill="FFFFFF"/>
        </w:rPr>
        <w:t>существуют определенные риски</w:t>
      </w:r>
      <w:r w:rsidR="00CD3AD9" w:rsidRPr="00DC5185">
        <w:rPr>
          <w:rFonts w:ascii="Times New Roman" w:hAnsi="Times New Roman" w:cs="Times New Roman"/>
          <w:shd w:val="clear" w:color="auto" w:fill="FFFFFF"/>
        </w:rPr>
        <w:t xml:space="preserve"> несбалансированного бюджета. Например, </w:t>
      </w:r>
      <w:r w:rsidR="00426F5A" w:rsidRPr="00DC5185">
        <w:rPr>
          <w:rFonts w:ascii="Times New Roman" w:hAnsi="Times New Roman" w:cs="Times New Roman"/>
          <w:shd w:val="clear" w:color="auto" w:fill="FFFFFF"/>
        </w:rPr>
        <w:t>невозможность получения бюджетных кредитов (из-за нестабильной бюджетной ситуации в регионе</w:t>
      </w:r>
      <w:r w:rsidR="00422DDB" w:rsidRPr="00DC5185">
        <w:rPr>
          <w:rFonts w:ascii="Times New Roman" w:hAnsi="Times New Roman" w:cs="Times New Roman"/>
          <w:shd w:val="clear" w:color="auto" w:fill="FFFFFF"/>
        </w:rPr>
        <w:t xml:space="preserve"> или новых правил п</w:t>
      </w:r>
      <w:r w:rsidR="003B27A6" w:rsidRPr="00DC5185">
        <w:rPr>
          <w:rFonts w:ascii="Times New Roman" w:hAnsi="Times New Roman" w:cs="Times New Roman"/>
          <w:shd w:val="clear" w:color="auto" w:fill="FFFFFF"/>
        </w:rPr>
        <w:t>олучения</w:t>
      </w:r>
      <w:r w:rsidR="00422DDB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r w:rsidR="003B27A6" w:rsidRPr="00DC5185">
        <w:rPr>
          <w:rFonts w:ascii="Times New Roman" w:hAnsi="Times New Roman" w:cs="Times New Roman"/>
          <w:shd w:val="clear" w:color="auto" w:fill="FFFFFF"/>
        </w:rPr>
        <w:t>заимствований</w:t>
      </w:r>
      <w:r w:rsidR="00426F5A" w:rsidRPr="00DC5185">
        <w:rPr>
          <w:rFonts w:ascii="Times New Roman" w:hAnsi="Times New Roman" w:cs="Times New Roman"/>
          <w:shd w:val="clear" w:color="auto" w:fill="FFFFFF"/>
        </w:rPr>
        <w:t>)</w:t>
      </w:r>
      <w:r w:rsidR="003B27A6" w:rsidRPr="00DC5185">
        <w:rPr>
          <w:rFonts w:ascii="Times New Roman" w:hAnsi="Times New Roman" w:cs="Times New Roman"/>
          <w:shd w:val="clear" w:color="auto" w:fill="FFFFFF"/>
        </w:rPr>
        <w:t xml:space="preserve"> может привести к наращиванию </w:t>
      </w:r>
      <w:r w:rsidR="00CE6583" w:rsidRPr="00DC5185">
        <w:rPr>
          <w:rFonts w:ascii="Times New Roman" w:hAnsi="Times New Roman" w:cs="Times New Roman"/>
          <w:shd w:val="clear" w:color="auto" w:fill="FFFFFF"/>
        </w:rPr>
        <w:t>дорогих коммерческих кредитов в структуре долга городов Северо-Запада и</w:t>
      </w:r>
      <w:r w:rsidR="00CA622A" w:rsidRPr="00DC5185">
        <w:rPr>
          <w:rFonts w:ascii="Times New Roman" w:hAnsi="Times New Roman" w:cs="Times New Roman"/>
          <w:shd w:val="clear" w:color="auto" w:fill="FFFFFF"/>
        </w:rPr>
        <w:t>, в дальнейшем, к увеличению расходов на обслуживание муницип</w:t>
      </w:r>
      <w:r w:rsidR="00BD2898" w:rsidRPr="00DC5185">
        <w:rPr>
          <w:rFonts w:ascii="Times New Roman" w:hAnsi="Times New Roman" w:cs="Times New Roman"/>
          <w:shd w:val="clear" w:color="auto" w:fill="FFFFFF"/>
        </w:rPr>
        <w:t>ального долга</w:t>
      </w:r>
      <w:r w:rsidR="00CA622A" w:rsidRPr="00DC5185">
        <w:rPr>
          <w:rFonts w:ascii="Times New Roman" w:hAnsi="Times New Roman" w:cs="Times New Roman"/>
          <w:shd w:val="clear" w:color="auto" w:fill="FFFFFF"/>
        </w:rPr>
        <w:t>.</w:t>
      </w:r>
    </w:p>
    <w:p w:rsidR="00643D72" w:rsidRPr="00DC5185" w:rsidRDefault="00BD4988" w:rsidP="00BF519C">
      <w:pPr>
        <w:spacing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>Н</w:t>
      </w:r>
      <w:r w:rsidR="003B7B55" w:rsidRPr="00DC5185">
        <w:rPr>
          <w:rFonts w:ascii="Times New Roman" w:hAnsi="Times New Roman" w:cs="Times New Roman"/>
          <w:shd w:val="clear" w:color="auto" w:fill="FFFFFF"/>
        </w:rPr>
        <w:t>е все города Северо-Запада предостав</w:t>
      </w:r>
      <w:r w:rsidR="00B0090B" w:rsidRPr="00DC5185">
        <w:rPr>
          <w:rFonts w:ascii="Times New Roman" w:hAnsi="Times New Roman" w:cs="Times New Roman"/>
          <w:shd w:val="clear" w:color="auto" w:fill="FFFFFF"/>
        </w:rPr>
        <w:t>ляют</w:t>
      </w:r>
      <w:r w:rsidR="003B7B55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r w:rsidR="00B0090B" w:rsidRPr="00DC5185">
        <w:rPr>
          <w:rFonts w:ascii="Times New Roman" w:hAnsi="Times New Roman" w:cs="Times New Roman"/>
          <w:shd w:val="clear" w:color="auto" w:fill="FFFFFF"/>
        </w:rPr>
        <w:t>сравнимую статистику по казначейским</w:t>
      </w:r>
      <w:r w:rsidR="00003B5A" w:rsidRPr="00DC5185">
        <w:rPr>
          <w:rFonts w:ascii="Times New Roman" w:hAnsi="Times New Roman" w:cs="Times New Roman"/>
          <w:shd w:val="clear" w:color="auto" w:fill="FFFFFF"/>
        </w:rPr>
        <w:t xml:space="preserve"> и бюджетным</w:t>
      </w:r>
      <w:r w:rsidR="00B0090B" w:rsidRPr="00DC5185">
        <w:rPr>
          <w:rFonts w:ascii="Times New Roman" w:hAnsi="Times New Roman" w:cs="Times New Roman"/>
          <w:shd w:val="clear" w:color="auto" w:fill="FFFFFF"/>
        </w:rPr>
        <w:t xml:space="preserve"> формам </w:t>
      </w:r>
      <w:r w:rsidR="00DC4CF5" w:rsidRPr="00DC5185">
        <w:rPr>
          <w:rFonts w:ascii="Times New Roman" w:hAnsi="Times New Roman" w:cs="Times New Roman"/>
          <w:shd w:val="clear" w:color="auto" w:fill="FFFFFF"/>
        </w:rPr>
        <w:t>на протяжении</w:t>
      </w:r>
      <w:r w:rsidR="00B0090B" w:rsidRPr="00DC5185">
        <w:rPr>
          <w:rFonts w:ascii="Times New Roman" w:hAnsi="Times New Roman" w:cs="Times New Roman"/>
          <w:shd w:val="clear" w:color="auto" w:fill="FFFFFF"/>
        </w:rPr>
        <w:t xml:space="preserve"> в</w:t>
      </w:r>
      <w:r w:rsidR="00DC4CF5" w:rsidRPr="00DC5185">
        <w:rPr>
          <w:rFonts w:ascii="Times New Roman" w:hAnsi="Times New Roman" w:cs="Times New Roman"/>
          <w:shd w:val="clear" w:color="auto" w:fill="FFFFFF"/>
        </w:rPr>
        <w:t>сего</w:t>
      </w:r>
      <w:r w:rsidR="00B0090B" w:rsidRPr="00DC5185">
        <w:rPr>
          <w:rFonts w:ascii="Times New Roman" w:hAnsi="Times New Roman" w:cs="Times New Roman"/>
          <w:shd w:val="clear" w:color="auto" w:fill="FFFFFF"/>
        </w:rPr>
        <w:t xml:space="preserve"> период</w:t>
      </w:r>
      <w:r w:rsidR="00DC4CF5" w:rsidRPr="00DC5185">
        <w:rPr>
          <w:rFonts w:ascii="Times New Roman" w:hAnsi="Times New Roman" w:cs="Times New Roman"/>
          <w:shd w:val="clear" w:color="auto" w:fill="FFFFFF"/>
        </w:rPr>
        <w:t>а</w:t>
      </w:r>
      <w:r w:rsidR="00B0090B" w:rsidRPr="00DC5185">
        <w:rPr>
          <w:rFonts w:ascii="Times New Roman" w:hAnsi="Times New Roman" w:cs="Times New Roman"/>
          <w:shd w:val="clear" w:color="auto" w:fill="FFFFFF"/>
        </w:rPr>
        <w:t xml:space="preserve"> анализа. </w:t>
      </w:r>
      <w:proofErr w:type="gramStart"/>
      <w:r w:rsidR="008D6FDD" w:rsidRPr="00DC5185">
        <w:rPr>
          <w:rFonts w:ascii="Times New Roman" w:hAnsi="Times New Roman" w:cs="Times New Roman"/>
          <w:shd w:val="clear" w:color="auto" w:fill="FFFFFF"/>
        </w:rPr>
        <w:t xml:space="preserve">Из тех городов, данные по которым доступны, </w:t>
      </w:r>
      <w:r w:rsidR="00320C6E" w:rsidRPr="00DC5185">
        <w:rPr>
          <w:rFonts w:ascii="Times New Roman" w:hAnsi="Times New Roman" w:cs="Times New Roman"/>
          <w:shd w:val="clear" w:color="auto" w:fill="FFFFFF"/>
        </w:rPr>
        <w:t>наиболее стабильными</w:t>
      </w:r>
      <w:r w:rsidR="00C01F67" w:rsidRPr="00DC5185">
        <w:rPr>
          <w:rFonts w:ascii="Times New Roman" w:hAnsi="Times New Roman" w:cs="Times New Roman"/>
          <w:shd w:val="clear" w:color="auto" w:fill="FFFFFF"/>
        </w:rPr>
        <w:t xml:space="preserve"> и обеспеченными</w:t>
      </w:r>
      <w:r w:rsidR="00320C6E" w:rsidRPr="00DC5185">
        <w:rPr>
          <w:rFonts w:ascii="Times New Roman" w:hAnsi="Times New Roman" w:cs="Times New Roman"/>
          <w:shd w:val="clear" w:color="auto" w:fill="FFFFFF"/>
        </w:rPr>
        <w:t xml:space="preserve"> были </w:t>
      </w:r>
      <w:r w:rsidR="00D42DCE" w:rsidRPr="00DC5185">
        <w:rPr>
          <w:rFonts w:ascii="Times New Roman" w:hAnsi="Times New Roman" w:cs="Times New Roman"/>
          <w:shd w:val="clear" w:color="auto" w:fill="FFFFFF"/>
        </w:rPr>
        <w:t xml:space="preserve">крупные областные центры (Мурманск, Калининград), северные промышленные </w:t>
      </w:r>
      <w:r w:rsidR="001D16BE" w:rsidRPr="00DC5185">
        <w:rPr>
          <w:rFonts w:ascii="Times New Roman" w:hAnsi="Times New Roman" w:cs="Times New Roman"/>
          <w:shd w:val="clear" w:color="auto" w:fill="FFFFFF"/>
        </w:rPr>
        <w:t>центры</w:t>
      </w:r>
      <w:r w:rsidR="00501C6D" w:rsidRPr="00DC5185">
        <w:rPr>
          <w:rFonts w:ascii="Times New Roman" w:hAnsi="Times New Roman" w:cs="Times New Roman"/>
          <w:shd w:val="clear" w:color="auto" w:fill="FFFFFF"/>
        </w:rPr>
        <w:t xml:space="preserve"> (Североморск, Апатиты, Северодвинск)</w:t>
      </w:r>
      <w:r w:rsidR="00CD5ADA" w:rsidRPr="00DC5185">
        <w:rPr>
          <w:rFonts w:ascii="Times New Roman" w:hAnsi="Times New Roman" w:cs="Times New Roman"/>
          <w:shd w:val="clear" w:color="auto" w:fill="FFFFFF"/>
        </w:rPr>
        <w:t xml:space="preserve"> и два города Ленинградской области (Гатчина, Сосновый Бор).</w:t>
      </w:r>
      <w:proofErr w:type="gramEnd"/>
      <w:r w:rsidR="00191B53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="00601E6A" w:rsidRPr="00DC5185">
        <w:rPr>
          <w:rFonts w:ascii="Times New Roman" w:hAnsi="Times New Roman" w:cs="Times New Roman"/>
          <w:shd w:val="clear" w:color="auto" w:fill="FFFFFF"/>
        </w:rPr>
        <w:t xml:space="preserve">Среди городов с наименьшей и нестабильной доходной обеспеченностью выделялись </w:t>
      </w:r>
      <w:r w:rsidR="0007093A" w:rsidRPr="00DC5185">
        <w:rPr>
          <w:rFonts w:ascii="Times New Roman" w:hAnsi="Times New Roman" w:cs="Times New Roman"/>
          <w:shd w:val="clear" w:color="auto" w:fill="FFFFFF"/>
        </w:rPr>
        <w:t>Выборг, Сертолово, Всеволожск (все – из Ленинградской области) и областные центры – Псков, Петрозаводск и Великий Новгород.</w:t>
      </w:r>
      <w:r w:rsidR="00483E40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End"/>
    </w:p>
    <w:p w:rsidR="00C40967" w:rsidRPr="00DC5185" w:rsidRDefault="009C0434" w:rsidP="00BF519C">
      <w:pPr>
        <w:spacing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>Среди наи</w:t>
      </w:r>
      <w:r w:rsidR="008471B4" w:rsidRPr="00DC5185">
        <w:rPr>
          <w:rFonts w:ascii="Times New Roman" w:hAnsi="Times New Roman" w:cs="Times New Roman"/>
          <w:shd w:val="clear" w:color="auto" w:fill="FFFFFF"/>
        </w:rPr>
        <w:t xml:space="preserve">менее зависимых от межбюджетных трансфертов городов выделяются </w:t>
      </w:r>
      <w:r w:rsidR="00D45B9A" w:rsidRPr="00DC5185">
        <w:rPr>
          <w:rFonts w:ascii="Times New Roman" w:hAnsi="Times New Roman" w:cs="Times New Roman"/>
          <w:shd w:val="clear" w:color="auto" w:fill="FFFFFF"/>
        </w:rPr>
        <w:t>города Ленинградской области (Выборг, Сосно</w:t>
      </w:r>
      <w:r w:rsidR="00D9633C" w:rsidRPr="00DC5185">
        <w:rPr>
          <w:rFonts w:ascii="Times New Roman" w:hAnsi="Times New Roman" w:cs="Times New Roman"/>
          <w:shd w:val="clear" w:color="auto" w:fill="FFFFFF"/>
        </w:rPr>
        <w:t>вый Бор, Всеволожск</w:t>
      </w:r>
      <w:r w:rsidR="00D45B9A" w:rsidRPr="00DC5185">
        <w:rPr>
          <w:rFonts w:ascii="Times New Roman" w:hAnsi="Times New Roman" w:cs="Times New Roman"/>
          <w:shd w:val="clear" w:color="auto" w:fill="FFFFFF"/>
        </w:rPr>
        <w:t>)</w:t>
      </w:r>
      <w:r w:rsidR="00D9633C" w:rsidRPr="00DC5185">
        <w:rPr>
          <w:rFonts w:ascii="Times New Roman" w:hAnsi="Times New Roman" w:cs="Times New Roman"/>
          <w:shd w:val="clear" w:color="auto" w:fill="FFFFFF"/>
        </w:rPr>
        <w:t xml:space="preserve">, а также областные центры – Калининград, Мурманск и Архангельск. К городам с наибольшей зависимостью от безвозмездных поступлений </w:t>
      </w:r>
      <w:r w:rsidR="00F1745A" w:rsidRPr="00DC5185">
        <w:rPr>
          <w:rFonts w:ascii="Times New Roman" w:hAnsi="Times New Roman" w:cs="Times New Roman"/>
          <w:shd w:val="clear" w:color="auto" w:fill="FFFFFF"/>
        </w:rPr>
        <w:t>относятся города Республики Коми (Воркута, Ухта и Сыктывкар)</w:t>
      </w:r>
      <w:r w:rsidR="006B2E4A" w:rsidRPr="00DC5185">
        <w:rPr>
          <w:rFonts w:ascii="Times New Roman" w:hAnsi="Times New Roman" w:cs="Times New Roman"/>
          <w:shd w:val="clear" w:color="auto" w:fill="FFFFFF"/>
        </w:rPr>
        <w:t xml:space="preserve"> и Псковской области (Великие Луки и Псков), а также Сертолово и Котлас.</w:t>
      </w:r>
      <w:r w:rsidR="00AE070C" w:rsidRPr="00DC5185">
        <w:rPr>
          <w:rFonts w:ascii="Times New Roman" w:hAnsi="Times New Roman" w:cs="Times New Roman"/>
          <w:shd w:val="clear" w:color="auto" w:fill="FFFFFF"/>
        </w:rPr>
        <w:t xml:space="preserve"> Таким образом, можно сделать вывод о том, что региональная политика в сфере межбюджетных отношений играет значительную роль в определении </w:t>
      </w:r>
      <w:r w:rsidR="004621D7" w:rsidRPr="00DC5185">
        <w:rPr>
          <w:rFonts w:ascii="Times New Roman" w:hAnsi="Times New Roman" w:cs="Times New Roman"/>
          <w:shd w:val="clear" w:color="auto" w:fill="FFFFFF"/>
        </w:rPr>
        <w:t xml:space="preserve">зависимости конкретного города от безвозмездных поступлений: некоторые регионы целенаправленно </w:t>
      </w:r>
      <w:r w:rsidR="0005338B" w:rsidRPr="00DC5185">
        <w:rPr>
          <w:rFonts w:ascii="Times New Roman" w:hAnsi="Times New Roman" w:cs="Times New Roman"/>
          <w:shd w:val="clear" w:color="auto" w:fill="FFFFFF"/>
        </w:rPr>
        <w:t xml:space="preserve">концентрируют ресурсы в бюджете субъекта РФ, другие же, используя нормативы отчислений по отдельным федеральным и региональным налогам, предоставляют городам большую фискальную автономию. Например, </w:t>
      </w:r>
      <w:r w:rsidR="00E2350A" w:rsidRPr="00DC5185">
        <w:rPr>
          <w:rFonts w:ascii="Times New Roman" w:hAnsi="Times New Roman" w:cs="Times New Roman"/>
          <w:shd w:val="clear" w:color="auto" w:fill="FFFFFF"/>
        </w:rPr>
        <w:t xml:space="preserve">в 2012-2022 годах </w:t>
      </w:r>
      <w:r w:rsidR="009B0AD6" w:rsidRPr="00DC5185">
        <w:rPr>
          <w:rFonts w:ascii="Times New Roman" w:hAnsi="Times New Roman" w:cs="Times New Roman"/>
          <w:shd w:val="clear" w:color="auto" w:fill="FFFFFF"/>
        </w:rPr>
        <w:t xml:space="preserve">средняя </w:t>
      </w:r>
      <w:r w:rsidR="00471007" w:rsidRPr="00DC5185">
        <w:rPr>
          <w:rFonts w:ascii="Times New Roman" w:hAnsi="Times New Roman" w:cs="Times New Roman"/>
          <w:shd w:val="clear" w:color="auto" w:fill="FFFFFF"/>
        </w:rPr>
        <w:t>доля межбюджетных трансфертов в бюджетах</w:t>
      </w:r>
      <w:r w:rsidR="009B0AD6" w:rsidRPr="00DC5185">
        <w:rPr>
          <w:rFonts w:ascii="Times New Roman" w:hAnsi="Times New Roman" w:cs="Times New Roman"/>
          <w:shd w:val="clear" w:color="auto" w:fill="FFFFFF"/>
        </w:rPr>
        <w:t xml:space="preserve"> городов Республики Коми </w:t>
      </w:r>
      <w:r w:rsidR="00471007" w:rsidRPr="00DC5185">
        <w:rPr>
          <w:rFonts w:ascii="Times New Roman" w:hAnsi="Times New Roman" w:cs="Times New Roman"/>
          <w:shd w:val="clear" w:color="auto" w:fill="FFFFFF"/>
        </w:rPr>
        <w:t xml:space="preserve">составила свыше 65%, а соответствующая доля в </w:t>
      </w:r>
      <w:r w:rsidR="00D6601F" w:rsidRPr="00DC5185">
        <w:rPr>
          <w:rFonts w:ascii="Times New Roman" w:hAnsi="Times New Roman" w:cs="Times New Roman"/>
          <w:shd w:val="clear" w:color="auto" w:fill="FFFFFF"/>
        </w:rPr>
        <w:t>Ленинградской области была чуть более 50%.</w:t>
      </w:r>
    </w:p>
    <w:p w:rsidR="00C40967" w:rsidRPr="00DC5185" w:rsidRDefault="00703994" w:rsidP="00BF519C">
      <w:pPr>
        <w:spacing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 xml:space="preserve">В </w:t>
      </w:r>
      <w:r w:rsidR="00827374" w:rsidRPr="00DC5185">
        <w:rPr>
          <w:rFonts w:ascii="Times New Roman" w:hAnsi="Times New Roman" w:cs="Times New Roman"/>
          <w:shd w:val="clear" w:color="auto" w:fill="FFFFFF"/>
        </w:rPr>
        <w:t xml:space="preserve">среднем за 2012-2022 годы наиболее профицитными были бюджеты Всеволожска, </w:t>
      </w:r>
      <w:r w:rsidR="004A1DA5" w:rsidRPr="00DC5185">
        <w:rPr>
          <w:rFonts w:ascii="Times New Roman" w:hAnsi="Times New Roman" w:cs="Times New Roman"/>
          <w:shd w:val="clear" w:color="auto" w:fill="FFFFFF"/>
        </w:rPr>
        <w:t xml:space="preserve">Архангельска, Калининграда, Сертолово и Котласа, а наиболее дефицитными – бюджеты Тихвина, </w:t>
      </w:r>
      <w:r w:rsidR="00791A17" w:rsidRPr="00DC5185">
        <w:rPr>
          <w:rFonts w:ascii="Times New Roman" w:hAnsi="Times New Roman" w:cs="Times New Roman"/>
          <w:shd w:val="clear" w:color="auto" w:fill="FFFFFF"/>
        </w:rPr>
        <w:t>Гатчины, Воркуты, Мурманска и Северодвинска.</w:t>
      </w:r>
      <w:r w:rsidR="00A92753" w:rsidRPr="00DC5185">
        <w:rPr>
          <w:rFonts w:ascii="Times New Roman" w:hAnsi="Times New Roman" w:cs="Times New Roman"/>
          <w:shd w:val="clear" w:color="auto" w:fill="FFFFFF"/>
        </w:rPr>
        <w:t xml:space="preserve"> Стоит отметить, что </w:t>
      </w:r>
      <w:r w:rsidR="00C36554" w:rsidRPr="00DC5185">
        <w:rPr>
          <w:rFonts w:ascii="Times New Roman" w:hAnsi="Times New Roman" w:cs="Times New Roman"/>
          <w:shd w:val="clear" w:color="auto" w:fill="FFFFFF"/>
        </w:rPr>
        <w:t xml:space="preserve">высокий </w:t>
      </w:r>
      <w:r w:rsidR="00A92753" w:rsidRPr="00DC5185">
        <w:rPr>
          <w:rFonts w:ascii="Times New Roman" w:hAnsi="Times New Roman" w:cs="Times New Roman"/>
          <w:shd w:val="clear" w:color="auto" w:fill="FFFFFF"/>
        </w:rPr>
        <w:t>показатель дефицита</w:t>
      </w:r>
      <w:r w:rsidR="00C36554" w:rsidRPr="00DC5185">
        <w:rPr>
          <w:rFonts w:ascii="Times New Roman" w:hAnsi="Times New Roman" w:cs="Times New Roman"/>
          <w:shd w:val="clear" w:color="auto" w:fill="FFFFFF"/>
        </w:rPr>
        <w:t xml:space="preserve"> бюджета</w:t>
      </w:r>
      <w:r w:rsidR="00A92753" w:rsidRPr="00DC5185">
        <w:rPr>
          <w:rFonts w:ascii="Times New Roman" w:hAnsi="Times New Roman" w:cs="Times New Roman"/>
          <w:shd w:val="clear" w:color="auto" w:fill="FFFFFF"/>
        </w:rPr>
        <w:t xml:space="preserve"> (при низком уровне долга) не </w:t>
      </w:r>
      <w:r w:rsidR="00C36554" w:rsidRPr="00DC5185">
        <w:rPr>
          <w:rFonts w:ascii="Times New Roman" w:hAnsi="Times New Roman" w:cs="Times New Roman"/>
          <w:shd w:val="clear" w:color="auto" w:fill="FFFFFF"/>
        </w:rPr>
        <w:t xml:space="preserve">обязательно </w:t>
      </w:r>
      <w:r w:rsidR="00A92753" w:rsidRPr="00DC5185">
        <w:rPr>
          <w:rFonts w:ascii="Times New Roman" w:hAnsi="Times New Roman" w:cs="Times New Roman"/>
          <w:shd w:val="clear" w:color="auto" w:fill="FFFFFF"/>
        </w:rPr>
        <w:t xml:space="preserve">является </w:t>
      </w:r>
      <w:r w:rsidR="00C36554" w:rsidRPr="00DC5185">
        <w:rPr>
          <w:rFonts w:ascii="Times New Roman" w:hAnsi="Times New Roman" w:cs="Times New Roman"/>
          <w:shd w:val="clear" w:color="auto" w:fill="FFFFFF"/>
        </w:rPr>
        <w:t xml:space="preserve">отрицательным фактором развития города – зачастую города осуществляют заимствования для проведения </w:t>
      </w:r>
      <w:r w:rsidR="00677704" w:rsidRPr="00DC5185">
        <w:rPr>
          <w:rFonts w:ascii="Times New Roman" w:hAnsi="Times New Roman" w:cs="Times New Roman"/>
          <w:shd w:val="clear" w:color="auto" w:fill="FFFFFF"/>
        </w:rPr>
        <w:t>реформ, направленных на повышение благосостояния горожан в будущем. Поэтому несколько городов с довольно низким</w:t>
      </w:r>
      <w:r w:rsidR="002647DE" w:rsidRPr="00DC5185">
        <w:rPr>
          <w:rFonts w:ascii="Times New Roman" w:hAnsi="Times New Roman" w:cs="Times New Roman"/>
          <w:shd w:val="clear" w:color="auto" w:fill="FFFFFF"/>
        </w:rPr>
        <w:t>и рангами по данному показателю находятся довольно высоко в нашем общем рэнкинге.</w:t>
      </w:r>
    </w:p>
    <w:p w:rsidR="00C61041" w:rsidRDefault="00C61041" w:rsidP="00D545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10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Результаты рэнкинга городов Северо-Запада</w:t>
      </w:r>
    </w:p>
    <w:p w:rsidR="00703994" w:rsidRDefault="00C23F70" w:rsidP="00DC518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lastRenderedPageBreak/>
        <w:t>На основе проведенного анализа по совокупности показателей</w:t>
      </w:r>
      <w:r w:rsidR="00451EAF" w:rsidRPr="00DC5185">
        <w:rPr>
          <w:rFonts w:ascii="Times New Roman" w:hAnsi="Times New Roman" w:cs="Times New Roman"/>
          <w:shd w:val="clear" w:color="auto" w:fill="FFFFFF"/>
        </w:rPr>
        <w:t xml:space="preserve"> </w:t>
      </w:r>
      <w:r w:rsidRPr="00DC5185">
        <w:rPr>
          <w:rFonts w:ascii="Times New Roman" w:hAnsi="Times New Roman" w:cs="Times New Roman"/>
          <w:shd w:val="clear" w:color="auto" w:fill="FFFFFF"/>
        </w:rPr>
        <w:t>были выделены наи</w:t>
      </w:r>
      <w:r w:rsidR="00451EAF" w:rsidRPr="00DC5185">
        <w:rPr>
          <w:rFonts w:ascii="Times New Roman" w:hAnsi="Times New Roman" w:cs="Times New Roman"/>
          <w:shd w:val="clear" w:color="auto" w:fill="FFFFFF"/>
        </w:rPr>
        <w:t>более успешные малые и средние (с населением свыше 50 тыс. человек) города Северо-Запад России – Калининград, Североморск, Вологда, Череповец, Сертолово и Петрозаводск.  К наименее же успешным городам отнесены Архангельск, Северодвинск, Апатиты, Выборг, Великие Луки и Тихвин (</w:t>
      </w:r>
      <w:proofErr w:type="gramStart"/>
      <w:r w:rsidR="00451EAF" w:rsidRPr="00DC5185">
        <w:rPr>
          <w:rFonts w:ascii="Times New Roman" w:hAnsi="Times New Roman" w:cs="Times New Roman"/>
          <w:shd w:val="clear" w:color="auto" w:fill="FFFFFF"/>
        </w:rPr>
        <w:t>см</w:t>
      </w:r>
      <w:proofErr w:type="gramEnd"/>
      <w:r w:rsidR="00451EAF" w:rsidRPr="00DC5185">
        <w:rPr>
          <w:rFonts w:ascii="Times New Roman" w:hAnsi="Times New Roman" w:cs="Times New Roman"/>
          <w:shd w:val="clear" w:color="auto" w:fill="FFFFFF"/>
        </w:rPr>
        <w:t>. таблица 2).</w:t>
      </w:r>
    </w:p>
    <w:p w:rsidR="00FC1E2D" w:rsidRPr="009018E3" w:rsidRDefault="00FC1E2D" w:rsidP="0070399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 – Рэнкинг малых и средних городов Северо-Запада России</w:t>
      </w:r>
    </w:p>
    <w:tbl>
      <w:tblPr>
        <w:tblpPr w:leftFromText="180" w:rightFromText="180" w:vertAnchor="text" w:horzAnchor="margin" w:tblpXSpec="center" w:tblpY="689"/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1696"/>
        <w:gridCol w:w="742"/>
        <w:gridCol w:w="743"/>
        <w:gridCol w:w="742"/>
        <w:gridCol w:w="743"/>
        <w:gridCol w:w="742"/>
        <w:gridCol w:w="743"/>
        <w:gridCol w:w="742"/>
        <w:gridCol w:w="743"/>
        <w:gridCol w:w="742"/>
        <w:gridCol w:w="743"/>
      </w:tblGrid>
      <w:tr w:rsidR="00AF1FB0" w:rsidRPr="00AF1FB0" w:rsidTr="001763CF">
        <w:trPr>
          <w:cantSplit/>
          <w:trHeight w:val="6496"/>
        </w:trPr>
        <w:tc>
          <w:tcPr>
            <w:tcW w:w="1696" w:type="dxa"/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Город</w:t>
            </w:r>
          </w:p>
        </w:tc>
        <w:tc>
          <w:tcPr>
            <w:tcW w:w="742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right="113" w:hanging="11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Средний ранг по естественному приросту численности населения за 2011-2022 гг.</w:t>
            </w:r>
          </w:p>
        </w:tc>
        <w:tc>
          <w:tcPr>
            <w:tcW w:w="74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суммарный абсолютный миграционный прирост населения за 2012-2022 гг.</w:t>
            </w:r>
          </w:p>
        </w:tc>
        <w:tc>
          <w:tcPr>
            <w:tcW w:w="742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Средний ранг за 2010-2022 гг.  по объему инвестиций в основной капитал (за исключением бюджетных средств) в расчете на 1 человека</w:t>
            </w:r>
          </w:p>
        </w:tc>
        <w:tc>
          <w:tcPr>
            <w:tcW w:w="74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приросту площади жилых помещений на душу населения с 2012 по 2021, кв. м.</w:t>
            </w:r>
          </w:p>
        </w:tc>
        <w:tc>
          <w:tcPr>
            <w:tcW w:w="742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right="113" w:hanging="5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индексу качества городской среды Минстроя РФ</w:t>
            </w:r>
          </w:p>
        </w:tc>
        <w:tc>
          <w:tcPr>
            <w:tcW w:w="74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бюджетным доходам на душу населения</w:t>
            </w:r>
          </w:p>
        </w:tc>
        <w:tc>
          <w:tcPr>
            <w:tcW w:w="742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доле безвозмездных поступлений в доходах</w:t>
            </w:r>
          </w:p>
        </w:tc>
        <w:tc>
          <w:tcPr>
            <w:tcW w:w="74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left="113" w:right="113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Ранг по дефициту на душу населения</w:t>
            </w:r>
          </w:p>
        </w:tc>
        <w:tc>
          <w:tcPr>
            <w:tcW w:w="742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right="113" w:hanging="11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Среднее значение ранга</w:t>
            </w:r>
          </w:p>
        </w:tc>
        <w:tc>
          <w:tcPr>
            <w:tcW w:w="743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textDirection w:val="btLr"/>
            <w:hideMark/>
          </w:tcPr>
          <w:p w:rsidR="00AF1FB0" w:rsidRPr="001763CF" w:rsidRDefault="00AF1FB0" w:rsidP="00AF1FB0">
            <w:pPr>
              <w:ind w:right="113" w:firstLine="709"/>
              <w:jc w:val="right"/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</w:pPr>
            <w:r w:rsidRPr="001763CF">
              <w:rPr>
                <w:rFonts w:ascii="Times New Roman" w:hAnsi="Times New Roman" w:cs="Times New Roman"/>
                <w:b/>
                <w:color w:val="0E2D47"/>
                <w:sz w:val="20"/>
                <w:szCs w:val="20"/>
                <w:shd w:val="clear" w:color="auto" w:fill="FFFFFF"/>
              </w:rPr>
              <w:t>Финальный ранг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Калининград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Североморск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6,86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763CF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Вологда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Default="001763CF" w:rsidP="001763CF">
            <w:pPr>
              <w:jc w:val="center"/>
            </w:pPr>
            <w:r w:rsidRPr="00BE05C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Default="001763CF" w:rsidP="001763CF">
            <w:pPr>
              <w:jc w:val="center"/>
            </w:pPr>
            <w:r w:rsidRPr="00BE05C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7,80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763CF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Череповец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Default="001763CF" w:rsidP="001763CF">
            <w:pPr>
              <w:jc w:val="center"/>
            </w:pPr>
            <w:r w:rsidRPr="00BE05C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Default="001763CF" w:rsidP="001763CF">
            <w:pPr>
              <w:jc w:val="center"/>
            </w:pPr>
            <w:r w:rsidRPr="00BE05C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8,40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1763CF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Сертолово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9,14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92D05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Петрозаводск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2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9,50</w:t>
            </w:r>
          </w:p>
        </w:tc>
        <w:tc>
          <w:tcPr>
            <w:tcW w:w="743" w:type="dxa"/>
            <w:shd w:val="clear" w:color="auto" w:fill="92D05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Гатчина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Мурманск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Великий Новгород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Сыктывкар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10,13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Псков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10,25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Всеволожск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10,43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Котлас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10,50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Ухта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11,13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Сосновый Бор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11,57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C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Воркута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2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11,88</w:t>
            </w:r>
          </w:p>
        </w:tc>
        <w:tc>
          <w:tcPr>
            <w:tcW w:w="743" w:type="dxa"/>
            <w:shd w:val="clear" w:color="auto" w:fill="FFC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Архангельск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Северодвинск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12,25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Апатиты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13,50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Выборг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13,71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Великие Луки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F1FB0" w:rsidRPr="00AF1FB0" w:rsidTr="001763CF">
        <w:trPr>
          <w:trHeight w:val="397"/>
        </w:trPr>
        <w:tc>
          <w:tcPr>
            <w:tcW w:w="1696" w:type="dxa"/>
            <w:shd w:val="clear" w:color="auto" w:fill="FF0000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AF1FB0" w:rsidRPr="00AF1FB0" w:rsidRDefault="00AF1FB0" w:rsidP="00AF1F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Тихвин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1763CF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14,71</w:t>
            </w:r>
          </w:p>
        </w:tc>
        <w:tc>
          <w:tcPr>
            <w:tcW w:w="743" w:type="dxa"/>
            <w:shd w:val="clear" w:color="auto" w:fill="FF0000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F1FB0" w:rsidRPr="00AF1FB0" w:rsidRDefault="00AF1FB0" w:rsidP="00176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F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</w:tbl>
    <w:p w:rsidR="00643D72" w:rsidRDefault="00AF1FB0" w:rsidP="00AB1A1C">
      <w:pPr>
        <w:ind w:firstLine="709"/>
        <w:jc w:val="both"/>
        <w:rPr>
          <w:rFonts w:ascii="Times New Roman" w:hAnsi="Times New Roman" w:cs="Times New Roman"/>
          <w:color w:val="0E2D4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E2D47"/>
          <w:sz w:val="24"/>
          <w:szCs w:val="24"/>
          <w:shd w:val="clear" w:color="auto" w:fill="FFFFFF"/>
        </w:rPr>
        <w:t>Источник: составлено авторами.</w:t>
      </w:r>
    </w:p>
    <w:p w:rsidR="0031691D" w:rsidRPr="00DC5185" w:rsidRDefault="00C82F1B" w:rsidP="00BF519C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 xml:space="preserve">Для дальнейшего </w:t>
      </w:r>
      <w:r w:rsidR="00003659" w:rsidRPr="00DC5185">
        <w:rPr>
          <w:rFonts w:ascii="Times New Roman" w:hAnsi="Times New Roman" w:cs="Times New Roman"/>
          <w:shd w:val="clear" w:color="auto" w:fill="FFFFFF"/>
        </w:rPr>
        <w:t xml:space="preserve">изучения роли фактора инноваций в развитии городов необходимо отобрать несколько городов из группы успешных и несколько городов из группы неуспешных. </w:t>
      </w:r>
    </w:p>
    <w:p w:rsidR="0085331A" w:rsidRPr="00DC5185" w:rsidRDefault="0085331A" w:rsidP="00BF519C">
      <w:pPr>
        <w:spacing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lang w:eastAsia="ru-RU"/>
        </w:rPr>
        <w:t>В ходе последующих этапов проекта предполагается изучение инновационных практик в развитии города и определение перспектив успешного инновационного развития.</w:t>
      </w:r>
    </w:p>
    <w:p w:rsidR="00897365" w:rsidRPr="00DC5185" w:rsidRDefault="00897365" w:rsidP="00BF519C">
      <w:pPr>
        <w:spacing w:line="240" w:lineRule="auto"/>
        <w:jc w:val="both"/>
        <w:rPr>
          <w:rStyle w:val="a4"/>
          <w:rFonts w:ascii="Times New Roman" w:hAnsi="Times New Roman" w:cs="Times New Roman"/>
          <w:color w:val="auto"/>
          <w:u w:val="none"/>
        </w:rPr>
      </w:pPr>
      <w:r w:rsidRPr="00DC5185">
        <w:rPr>
          <w:rStyle w:val="a4"/>
          <w:rFonts w:ascii="Times New Roman" w:hAnsi="Times New Roman" w:cs="Times New Roman"/>
          <w:color w:val="auto"/>
          <w:u w:val="none"/>
        </w:rPr>
        <w:t>Для понимания всей картины инновационного развития города необходимо изучать ситуацию в различных сферах человеческой активности. В рамках исследования предусмотрена работа по трем направлениям:</w:t>
      </w:r>
    </w:p>
    <w:p w:rsidR="00897365" w:rsidRPr="00DC5185" w:rsidRDefault="00897365" w:rsidP="00BF519C">
      <w:pPr>
        <w:spacing w:line="240" w:lineRule="auto"/>
        <w:jc w:val="both"/>
        <w:rPr>
          <w:rStyle w:val="a4"/>
          <w:rFonts w:ascii="Times New Roman" w:hAnsi="Times New Roman" w:cs="Times New Roman"/>
          <w:color w:val="auto"/>
          <w:u w:val="none"/>
        </w:rPr>
      </w:pPr>
      <w:proofErr w:type="gramStart"/>
      <w:r w:rsidRPr="00DC5185">
        <w:rPr>
          <w:rStyle w:val="a4"/>
          <w:rFonts w:ascii="Times New Roman" w:hAnsi="Times New Roman" w:cs="Times New Roman"/>
          <w:color w:val="auto"/>
          <w:u w:val="none"/>
          <w:lang w:val="en-US"/>
        </w:rPr>
        <w:t>I</w:t>
      </w:r>
      <w:r w:rsidRPr="00DC5185">
        <w:rPr>
          <w:rStyle w:val="a4"/>
          <w:rFonts w:ascii="Times New Roman" w:hAnsi="Times New Roman" w:cs="Times New Roman"/>
          <w:color w:val="auto"/>
          <w:u w:val="none"/>
        </w:rPr>
        <w:t>. Изучение инновационных процессов в деятельности предприятий города и определение производственных связей и сетей предприятий.</w:t>
      </w:r>
      <w:proofErr w:type="gramEnd"/>
    </w:p>
    <w:p w:rsidR="00897365" w:rsidRPr="00DC5185" w:rsidRDefault="00897365" w:rsidP="00BF519C">
      <w:pPr>
        <w:spacing w:line="240" w:lineRule="auto"/>
        <w:jc w:val="both"/>
        <w:rPr>
          <w:rStyle w:val="a4"/>
          <w:rFonts w:ascii="Times New Roman" w:hAnsi="Times New Roman" w:cs="Times New Roman"/>
          <w:color w:val="auto"/>
          <w:u w:val="none"/>
        </w:rPr>
      </w:pPr>
      <w:r w:rsidRPr="00DC5185">
        <w:rPr>
          <w:rStyle w:val="a4"/>
          <w:rFonts w:ascii="Times New Roman" w:hAnsi="Times New Roman" w:cs="Times New Roman"/>
          <w:color w:val="auto"/>
          <w:u w:val="none"/>
          <w:lang w:val="en-US"/>
        </w:rPr>
        <w:t>II</w:t>
      </w:r>
      <w:r w:rsidRPr="00DC5185">
        <w:rPr>
          <w:rStyle w:val="a4"/>
          <w:color w:val="auto"/>
          <w:u w:val="none"/>
        </w:rPr>
        <w:t xml:space="preserve">. </w:t>
      </w:r>
      <w:bookmarkStart w:id="0" w:name="_Hlk156392872"/>
      <w:r w:rsidRPr="00DC5185">
        <w:rPr>
          <w:rStyle w:val="a4"/>
          <w:rFonts w:ascii="Times New Roman" w:hAnsi="Times New Roman" w:cs="Times New Roman"/>
          <w:color w:val="auto"/>
          <w:u w:val="none"/>
        </w:rPr>
        <w:t>Изучение управленческих практик и восприятия инноваций в управлении, влияние городских коалиций</w:t>
      </w:r>
      <w:bookmarkEnd w:id="0"/>
      <w:r w:rsidRPr="00DC5185">
        <w:rPr>
          <w:rStyle w:val="a4"/>
          <w:rFonts w:ascii="Times New Roman" w:hAnsi="Times New Roman" w:cs="Times New Roman"/>
          <w:color w:val="auto"/>
          <w:u w:val="none"/>
        </w:rPr>
        <w:t>.</w:t>
      </w:r>
    </w:p>
    <w:p w:rsidR="00897365" w:rsidRPr="00DC5185" w:rsidRDefault="00897365" w:rsidP="00BF519C">
      <w:pPr>
        <w:spacing w:line="240" w:lineRule="auto"/>
        <w:jc w:val="both"/>
        <w:rPr>
          <w:rStyle w:val="a4"/>
          <w:rFonts w:ascii="Times New Roman" w:hAnsi="Times New Roman" w:cs="Times New Roman"/>
          <w:color w:val="auto"/>
          <w:u w:val="none"/>
        </w:rPr>
      </w:pPr>
      <w:r w:rsidRPr="00DC5185">
        <w:rPr>
          <w:rStyle w:val="a4"/>
          <w:rFonts w:ascii="Times New Roman" w:hAnsi="Times New Roman" w:cs="Times New Roman"/>
          <w:color w:val="auto"/>
          <w:u w:val="none"/>
          <w:lang w:val="en-US"/>
        </w:rPr>
        <w:t>III</w:t>
      </w:r>
      <w:r w:rsidRPr="00DC5185">
        <w:rPr>
          <w:rStyle w:val="a4"/>
          <w:color w:val="auto"/>
          <w:u w:val="none"/>
        </w:rPr>
        <w:t xml:space="preserve">. </w:t>
      </w:r>
      <w:r w:rsidRPr="00DC5185">
        <w:rPr>
          <w:rStyle w:val="a4"/>
          <w:rFonts w:ascii="Times New Roman" w:hAnsi="Times New Roman" w:cs="Times New Roman"/>
          <w:color w:val="auto"/>
          <w:u w:val="none"/>
        </w:rPr>
        <w:t>Изучение инновационных организационных практик в общественном секторе города.</w:t>
      </w:r>
    </w:p>
    <w:p w:rsidR="00C82F1B" w:rsidRPr="00DC5185" w:rsidRDefault="00003659" w:rsidP="00BF519C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C5185">
        <w:rPr>
          <w:rFonts w:ascii="Times New Roman" w:hAnsi="Times New Roman" w:cs="Times New Roman"/>
          <w:shd w:val="clear" w:color="auto" w:fill="FFFFFF"/>
        </w:rPr>
        <w:t>Предстоит проверить несколько гипотез:</w:t>
      </w:r>
    </w:p>
    <w:p w:rsidR="00003659" w:rsidRPr="00DC5185" w:rsidRDefault="00003659" w:rsidP="00BF519C">
      <w:pPr>
        <w:pStyle w:val="a5"/>
        <w:numPr>
          <w:ilvl w:val="0"/>
          <w:numId w:val="11"/>
        </w:numPr>
        <w:rPr>
          <w:sz w:val="22"/>
          <w:szCs w:val="22"/>
        </w:rPr>
      </w:pPr>
      <w:r w:rsidRPr="00DC5185">
        <w:rPr>
          <w:rFonts w:eastAsiaTheme="minorEastAsia"/>
          <w:sz w:val="22"/>
          <w:szCs w:val="22"/>
        </w:rPr>
        <w:t>Включен ли город в инновационную систему страны.</w:t>
      </w:r>
    </w:p>
    <w:p w:rsidR="00003659" w:rsidRPr="00DC5185" w:rsidRDefault="00003659" w:rsidP="00BF519C">
      <w:pPr>
        <w:pStyle w:val="a5"/>
        <w:numPr>
          <w:ilvl w:val="0"/>
          <w:numId w:val="11"/>
        </w:numPr>
        <w:rPr>
          <w:sz w:val="22"/>
          <w:szCs w:val="22"/>
        </w:rPr>
      </w:pPr>
      <w:r w:rsidRPr="00DC5185">
        <w:rPr>
          <w:rFonts w:eastAsiaTheme="minorEastAsia"/>
          <w:sz w:val="22"/>
          <w:szCs w:val="22"/>
        </w:rPr>
        <w:t>Насколько выражена городская идентичность и как она влияет на диффузию инноваций</w:t>
      </w:r>
      <w:proofErr w:type="gramStart"/>
      <w:r w:rsidRPr="00DC5185">
        <w:rPr>
          <w:rFonts w:eastAsiaTheme="minorEastAsia"/>
          <w:sz w:val="22"/>
          <w:szCs w:val="22"/>
        </w:rPr>
        <w:t>/ К</w:t>
      </w:r>
      <w:proofErr w:type="gramEnd"/>
      <w:r w:rsidRPr="00DC5185">
        <w:rPr>
          <w:rFonts w:eastAsiaTheme="minorEastAsia"/>
          <w:sz w:val="22"/>
          <w:szCs w:val="22"/>
        </w:rPr>
        <w:t>акова оценка инновационной среды и как она влияет на диффузию инноваций</w:t>
      </w:r>
    </w:p>
    <w:p w:rsidR="00003659" w:rsidRPr="00DC5185" w:rsidRDefault="00003659" w:rsidP="00BF519C">
      <w:pPr>
        <w:pStyle w:val="a5"/>
        <w:numPr>
          <w:ilvl w:val="0"/>
          <w:numId w:val="11"/>
        </w:numPr>
        <w:jc w:val="both"/>
        <w:rPr>
          <w:sz w:val="22"/>
          <w:szCs w:val="22"/>
        </w:rPr>
      </w:pPr>
      <w:r w:rsidRPr="00DC5185">
        <w:rPr>
          <w:rFonts w:eastAsiaTheme="minorEastAsia"/>
          <w:sz w:val="22"/>
          <w:szCs w:val="22"/>
        </w:rPr>
        <w:t>Какие виды инновационных практик характерны для города и как они соотносятся с практикой успешных городов.</w:t>
      </w:r>
    </w:p>
    <w:p w:rsidR="00003659" w:rsidRPr="00CA79B6" w:rsidRDefault="00003659" w:rsidP="00BF519C">
      <w:pPr>
        <w:pStyle w:val="a5"/>
        <w:numPr>
          <w:ilvl w:val="0"/>
          <w:numId w:val="11"/>
        </w:numPr>
        <w:jc w:val="both"/>
        <w:rPr>
          <w:sz w:val="22"/>
          <w:szCs w:val="22"/>
        </w:rPr>
      </w:pPr>
      <w:r w:rsidRPr="00DC5185">
        <w:rPr>
          <w:rFonts w:eastAsiaTheme="minorEastAsia"/>
          <w:sz w:val="22"/>
          <w:szCs w:val="22"/>
        </w:rPr>
        <w:t>Какие препятствия сдерживают восприятие инноваций в городе.</w:t>
      </w:r>
    </w:p>
    <w:p w:rsidR="00CA79B6" w:rsidRPr="00DC5185" w:rsidRDefault="00CA79B6" w:rsidP="00CA79B6">
      <w:pPr>
        <w:pStyle w:val="a5"/>
        <w:ind w:left="1080"/>
        <w:jc w:val="both"/>
        <w:rPr>
          <w:sz w:val="22"/>
          <w:szCs w:val="22"/>
        </w:rPr>
      </w:pPr>
    </w:p>
    <w:p w:rsidR="0041754E" w:rsidRPr="00CA79B6" w:rsidRDefault="00897365" w:rsidP="00CA79B6">
      <w:pPr>
        <w:ind w:firstLine="708"/>
        <w:jc w:val="both"/>
        <w:rPr>
          <w:rFonts w:ascii="Times New Roman" w:hAnsi="Times New Roman" w:cs="Times New Roman"/>
        </w:rPr>
      </w:pPr>
      <w:r w:rsidRPr="00CA79B6">
        <w:rPr>
          <w:rFonts w:ascii="Times New Roman" w:eastAsiaTheme="minorEastAsia" w:hAnsi="Times New Roman" w:cs="Times New Roman"/>
          <w:color w:val="000000" w:themeColor="text1"/>
          <w:kern w:val="24"/>
        </w:rPr>
        <w:t>Полученные результаты исследования позволят разработать рекомендации по активизации инновационного потенциала городов, использованию и распространению лучших инновационных практик.</w:t>
      </w:r>
    </w:p>
    <w:sectPr w:rsidR="0041754E" w:rsidRPr="00CA79B6" w:rsidSect="009F15BC">
      <w:footerReference w:type="default" r:id="rId12"/>
      <w:pgSz w:w="11906" w:h="16838"/>
      <w:pgMar w:top="709" w:right="851" w:bottom="992" w:left="1701" w:header="284" w:footer="284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136" w:rsidRDefault="00155136" w:rsidP="00451EAF">
      <w:pPr>
        <w:spacing w:after="0" w:line="240" w:lineRule="auto"/>
      </w:pPr>
      <w:r>
        <w:separator/>
      </w:r>
    </w:p>
  </w:endnote>
  <w:endnote w:type="continuationSeparator" w:id="0">
    <w:p w:rsidR="00155136" w:rsidRDefault="00155136" w:rsidP="0045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34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F15BC" w:rsidRPr="009F15BC" w:rsidRDefault="009F15BC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F15B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15B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F15BC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38</w:t>
        </w:r>
        <w:r w:rsidRPr="009F15B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136" w:rsidRDefault="00155136" w:rsidP="00451EAF">
      <w:pPr>
        <w:spacing w:after="0" w:line="240" w:lineRule="auto"/>
      </w:pPr>
      <w:r>
        <w:separator/>
      </w:r>
    </w:p>
  </w:footnote>
  <w:footnote w:type="continuationSeparator" w:id="0">
    <w:p w:rsidR="00155136" w:rsidRDefault="00155136" w:rsidP="00451EAF">
      <w:pPr>
        <w:spacing w:after="0" w:line="240" w:lineRule="auto"/>
      </w:pPr>
      <w:r>
        <w:continuationSeparator/>
      </w:r>
    </w:p>
  </w:footnote>
  <w:footnote w:id="1">
    <w:p w:rsidR="00650114" w:rsidRPr="00DC5185" w:rsidRDefault="00650114" w:rsidP="00DC5185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6F91"/>
    <w:multiLevelType w:val="hybridMultilevel"/>
    <w:tmpl w:val="A71C8100"/>
    <w:lvl w:ilvl="0" w:tplc="661CE1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7CB2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D483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C0C2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06343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2ED2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E42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43CB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E031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26987"/>
    <w:multiLevelType w:val="hybridMultilevel"/>
    <w:tmpl w:val="5D04EEF4"/>
    <w:lvl w:ilvl="0" w:tplc="C284F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40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C1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8C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0B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A0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4F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28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E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942FFF"/>
    <w:multiLevelType w:val="hybridMultilevel"/>
    <w:tmpl w:val="EAE4AC3A"/>
    <w:lvl w:ilvl="0" w:tplc="A2007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90A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2C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66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CE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D8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45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48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5E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E5167F"/>
    <w:multiLevelType w:val="hybridMultilevel"/>
    <w:tmpl w:val="80248A6E"/>
    <w:lvl w:ilvl="0" w:tplc="71B80CC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B36B1F"/>
    <w:multiLevelType w:val="hybridMultilevel"/>
    <w:tmpl w:val="C80023D4"/>
    <w:lvl w:ilvl="0" w:tplc="ED0C7D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EDA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FA90B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C845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88CA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4C66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4CA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AFB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48A11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4D3E2E"/>
    <w:multiLevelType w:val="hybridMultilevel"/>
    <w:tmpl w:val="655E4E6C"/>
    <w:lvl w:ilvl="0" w:tplc="D578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0D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C2C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54D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E7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505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C3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246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64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177355"/>
    <w:multiLevelType w:val="hybridMultilevel"/>
    <w:tmpl w:val="CB18E700"/>
    <w:lvl w:ilvl="0" w:tplc="85E05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84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22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EE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61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8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03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BC3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A4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C2C59B5"/>
    <w:multiLevelType w:val="hybridMultilevel"/>
    <w:tmpl w:val="89F01F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6E9479B"/>
    <w:multiLevelType w:val="hybridMultilevel"/>
    <w:tmpl w:val="AB4885F8"/>
    <w:lvl w:ilvl="0" w:tplc="71B80C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64EE7"/>
    <w:multiLevelType w:val="hybridMultilevel"/>
    <w:tmpl w:val="8FDC52B4"/>
    <w:lvl w:ilvl="0" w:tplc="22461E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EAEE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00EC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6EB4A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DEB9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04C0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DA7ED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9432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06E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D32CB9"/>
    <w:multiLevelType w:val="hybridMultilevel"/>
    <w:tmpl w:val="C6265488"/>
    <w:lvl w:ilvl="0" w:tplc="4CFAA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0E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CA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A5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2F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4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E1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0D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ECA5B84"/>
    <w:multiLevelType w:val="multilevel"/>
    <w:tmpl w:val="1FEE5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D45"/>
    <w:rsid w:val="00003659"/>
    <w:rsid w:val="00003B5A"/>
    <w:rsid w:val="00034A1D"/>
    <w:rsid w:val="0005338B"/>
    <w:rsid w:val="0007093A"/>
    <w:rsid w:val="0008379A"/>
    <w:rsid w:val="00093650"/>
    <w:rsid w:val="00094D50"/>
    <w:rsid w:val="00096CB0"/>
    <w:rsid w:val="000C30D9"/>
    <w:rsid w:val="000C7340"/>
    <w:rsid w:val="001301D6"/>
    <w:rsid w:val="00144399"/>
    <w:rsid w:val="00155136"/>
    <w:rsid w:val="001763CF"/>
    <w:rsid w:val="001821A1"/>
    <w:rsid w:val="00191B53"/>
    <w:rsid w:val="00195FE8"/>
    <w:rsid w:val="001D16BE"/>
    <w:rsid w:val="001F2EEE"/>
    <w:rsid w:val="00243BE4"/>
    <w:rsid w:val="00253BCA"/>
    <w:rsid w:val="002647DE"/>
    <w:rsid w:val="00285305"/>
    <w:rsid w:val="0029769E"/>
    <w:rsid w:val="002A2A2C"/>
    <w:rsid w:val="002B76DC"/>
    <w:rsid w:val="002C080E"/>
    <w:rsid w:val="003100C1"/>
    <w:rsid w:val="003126F6"/>
    <w:rsid w:val="0031691D"/>
    <w:rsid w:val="00320C6E"/>
    <w:rsid w:val="00327EAE"/>
    <w:rsid w:val="003312A1"/>
    <w:rsid w:val="00354621"/>
    <w:rsid w:val="00361D8E"/>
    <w:rsid w:val="003A4F20"/>
    <w:rsid w:val="003B27A6"/>
    <w:rsid w:val="003B7B55"/>
    <w:rsid w:val="003C3AFE"/>
    <w:rsid w:val="003C497D"/>
    <w:rsid w:val="003E0779"/>
    <w:rsid w:val="003E2086"/>
    <w:rsid w:val="003E6CDC"/>
    <w:rsid w:val="0040353A"/>
    <w:rsid w:val="00410793"/>
    <w:rsid w:val="0041754E"/>
    <w:rsid w:val="00422DDB"/>
    <w:rsid w:val="00422DEE"/>
    <w:rsid w:val="00426F5A"/>
    <w:rsid w:val="00434873"/>
    <w:rsid w:val="00445A78"/>
    <w:rsid w:val="00451EAF"/>
    <w:rsid w:val="004621D7"/>
    <w:rsid w:val="00471007"/>
    <w:rsid w:val="00483E40"/>
    <w:rsid w:val="00493CD1"/>
    <w:rsid w:val="004967A8"/>
    <w:rsid w:val="004A14DD"/>
    <w:rsid w:val="004A1B83"/>
    <w:rsid w:val="004A1DA5"/>
    <w:rsid w:val="004A6DD6"/>
    <w:rsid w:val="004F4B9C"/>
    <w:rsid w:val="00501C6D"/>
    <w:rsid w:val="00507662"/>
    <w:rsid w:val="00567240"/>
    <w:rsid w:val="005A1723"/>
    <w:rsid w:val="005B3935"/>
    <w:rsid w:val="005E20F9"/>
    <w:rsid w:val="005E53CF"/>
    <w:rsid w:val="00601E6A"/>
    <w:rsid w:val="00643D72"/>
    <w:rsid w:val="00650114"/>
    <w:rsid w:val="00677704"/>
    <w:rsid w:val="006845DC"/>
    <w:rsid w:val="006B2E4A"/>
    <w:rsid w:val="006B3FAB"/>
    <w:rsid w:val="006D4CDA"/>
    <w:rsid w:val="006D5860"/>
    <w:rsid w:val="006E2B73"/>
    <w:rsid w:val="006E7504"/>
    <w:rsid w:val="006F1FCA"/>
    <w:rsid w:val="00703994"/>
    <w:rsid w:val="0071451E"/>
    <w:rsid w:val="00725F9F"/>
    <w:rsid w:val="007330D4"/>
    <w:rsid w:val="007332AE"/>
    <w:rsid w:val="00741196"/>
    <w:rsid w:val="00762CD1"/>
    <w:rsid w:val="00774ED5"/>
    <w:rsid w:val="00791A17"/>
    <w:rsid w:val="007D784B"/>
    <w:rsid w:val="007F0F34"/>
    <w:rsid w:val="00801804"/>
    <w:rsid w:val="00804EA8"/>
    <w:rsid w:val="00827374"/>
    <w:rsid w:val="00831021"/>
    <w:rsid w:val="008471B4"/>
    <w:rsid w:val="0085331A"/>
    <w:rsid w:val="00897365"/>
    <w:rsid w:val="008B506B"/>
    <w:rsid w:val="008D6533"/>
    <w:rsid w:val="008D6FDD"/>
    <w:rsid w:val="008E2E3A"/>
    <w:rsid w:val="008E47DB"/>
    <w:rsid w:val="008E547D"/>
    <w:rsid w:val="008F6958"/>
    <w:rsid w:val="009018E3"/>
    <w:rsid w:val="00911A5D"/>
    <w:rsid w:val="00932715"/>
    <w:rsid w:val="00935371"/>
    <w:rsid w:val="0093609D"/>
    <w:rsid w:val="0094526D"/>
    <w:rsid w:val="00950BC5"/>
    <w:rsid w:val="00962A31"/>
    <w:rsid w:val="0097150A"/>
    <w:rsid w:val="00973703"/>
    <w:rsid w:val="009746C3"/>
    <w:rsid w:val="00980FDE"/>
    <w:rsid w:val="009A54D1"/>
    <w:rsid w:val="009B0AD6"/>
    <w:rsid w:val="009C0434"/>
    <w:rsid w:val="009C39B2"/>
    <w:rsid w:val="009C6888"/>
    <w:rsid w:val="009D391A"/>
    <w:rsid w:val="009D7C68"/>
    <w:rsid w:val="009E34B3"/>
    <w:rsid w:val="009F15BC"/>
    <w:rsid w:val="009F2430"/>
    <w:rsid w:val="00A16C24"/>
    <w:rsid w:val="00A20655"/>
    <w:rsid w:val="00A2608D"/>
    <w:rsid w:val="00A35F2B"/>
    <w:rsid w:val="00A55D45"/>
    <w:rsid w:val="00A67C93"/>
    <w:rsid w:val="00A7639A"/>
    <w:rsid w:val="00A81016"/>
    <w:rsid w:val="00A92753"/>
    <w:rsid w:val="00A93F1E"/>
    <w:rsid w:val="00A95944"/>
    <w:rsid w:val="00AB1A1C"/>
    <w:rsid w:val="00AD5EF1"/>
    <w:rsid w:val="00AE070C"/>
    <w:rsid w:val="00AE629A"/>
    <w:rsid w:val="00AF1FB0"/>
    <w:rsid w:val="00AF2370"/>
    <w:rsid w:val="00B0090B"/>
    <w:rsid w:val="00B136E2"/>
    <w:rsid w:val="00B27B41"/>
    <w:rsid w:val="00B31143"/>
    <w:rsid w:val="00B315E4"/>
    <w:rsid w:val="00B3608E"/>
    <w:rsid w:val="00BA5F93"/>
    <w:rsid w:val="00BB3C1E"/>
    <w:rsid w:val="00BC03BA"/>
    <w:rsid w:val="00BD2898"/>
    <w:rsid w:val="00BD3A64"/>
    <w:rsid w:val="00BD4988"/>
    <w:rsid w:val="00BF519C"/>
    <w:rsid w:val="00C007AD"/>
    <w:rsid w:val="00C01F67"/>
    <w:rsid w:val="00C23B06"/>
    <w:rsid w:val="00C23F70"/>
    <w:rsid w:val="00C351DA"/>
    <w:rsid w:val="00C36554"/>
    <w:rsid w:val="00C40967"/>
    <w:rsid w:val="00C61041"/>
    <w:rsid w:val="00C64951"/>
    <w:rsid w:val="00C82F1B"/>
    <w:rsid w:val="00CA47C9"/>
    <w:rsid w:val="00CA622A"/>
    <w:rsid w:val="00CA79B6"/>
    <w:rsid w:val="00CC6537"/>
    <w:rsid w:val="00CD3AD9"/>
    <w:rsid w:val="00CD5ADA"/>
    <w:rsid w:val="00CE6583"/>
    <w:rsid w:val="00CF35D7"/>
    <w:rsid w:val="00D11F94"/>
    <w:rsid w:val="00D42DCE"/>
    <w:rsid w:val="00D45B9A"/>
    <w:rsid w:val="00D5459C"/>
    <w:rsid w:val="00D6601F"/>
    <w:rsid w:val="00D7027E"/>
    <w:rsid w:val="00D7633A"/>
    <w:rsid w:val="00D84D41"/>
    <w:rsid w:val="00D9633C"/>
    <w:rsid w:val="00DA3534"/>
    <w:rsid w:val="00DB15A7"/>
    <w:rsid w:val="00DC4CF5"/>
    <w:rsid w:val="00DC5185"/>
    <w:rsid w:val="00DC7CD6"/>
    <w:rsid w:val="00DD2989"/>
    <w:rsid w:val="00DE743B"/>
    <w:rsid w:val="00DE7FB6"/>
    <w:rsid w:val="00E01ADF"/>
    <w:rsid w:val="00E2350A"/>
    <w:rsid w:val="00E371B4"/>
    <w:rsid w:val="00E53F9E"/>
    <w:rsid w:val="00E97CBC"/>
    <w:rsid w:val="00EB090A"/>
    <w:rsid w:val="00EB370A"/>
    <w:rsid w:val="00EF3B5A"/>
    <w:rsid w:val="00F1745A"/>
    <w:rsid w:val="00F24C6B"/>
    <w:rsid w:val="00F26F98"/>
    <w:rsid w:val="00F47050"/>
    <w:rsid w:val="00F50F60"/>
    <w:rsid w:val="00F54C35"/>
    <w:rsid w:val="00F70BD7"/>
    <w:rsid w:val="00F90FAA"/>
    <w:rsid w:val="00F93BC7"/>
    <w:rsid w:val="00F96B17"/>
    <w:rsid w:val="00FA42B7"/>
    <w:rsid w:val="00FB32A1"/>
    <w:rsid w:val="00FC1E2D"/>
    <w:rsid w:val="00FF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1754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360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AD5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51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1EAF"/>
  </w:style>
  <w:style w:type="paragraph" w:styleId="a9">
    <w:name w:val="footer"/>
    <w:basedOn w:val="a"/>
    <w:link w:val="aa"/>
    <w:uiPriority w:val="99"/>
    <w:unhideWhenUsed/>
    <w:rsid w:val="00451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1EAF"/>
  </w:style>
  <w:style w:type="character" w:customStyle="1" w:styleId="1">
    <w:name w:val="Неразрешенное упоминание1"/>
    <w:basedOn w:val="a0"/>
    <w:uiPriority w:val="99"/>
    <w:semiHidden/>
    <w:unhideWhenUsed/>
    <w:rsid w:val="009A54D1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semiHidden/>
    <w:unhideWhenUsed/>
    <w:rsid w:val="00EF3B5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F3B5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F3B5A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CC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C6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8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3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9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4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1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5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7839">
          <w:marLeft w:val="446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002">
          <w:marLeft w:val="446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043">
          <w:marLeft w:val="446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6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1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0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788\Desktop\&#1043;&#1077;&#1085;&#1080;&#1081;%20&#1084;&#1077;&#1089;&#1090;&#1072;\&#1050;&#1086;&#1087;&#1080;&#1103;%20&#1043;&#1086;&#1088;&#1086;&#1076;&#1072;%20&#1057;&#1047;&#1060;&#1054;%20(&#1073;&#1086;&#1083;&#1100;&#1096;&#1077;%2050%20&#1090;&#1099;&#1089;%20&#1095;&#1077;&#1083;%20&#1085;&#1072;%201%20&#1103;&#1085;&#1074;%202022%20&#1075;)%201311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788\Desktop\&#1043;&#1077;&#1085;&#1080;&#1081;%20&#1084;&#1077;&#1089;&#1090;&#1072;\&#1043;&#1086;&#1088;&#1086;&#1076;&#1072;%20&#1057;&#1047;&#1060;&#1054;%20(&#1073;&#1086;&#1083;&#1100;&#1096;&#1077;%2050%20&#1090;&#1099;&#1089;%20&#1095;&#1077;&#1083;%20&#1085;&#1072;%201%20&#1103;&#1085;&#1074;%202022%20&#1075;)%201610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788\Desktop\&#1043;&#1077;&#1085;&#1080;&#1081;%20&#1084;&#1077;&#1089;&#1090;&#1072;\&#1043;&#1086;&#1088;&#1086;&#1076;&#1072;%20&#1057;&#1047;&#1060;&#1054;%20(&#1073;&#1086;&#1083;&#1100;&#1096;&#1077;%2050%20&#1090;&#1099;&#1089;%20&#1095;&#1077;&#1083;%20&#1085;&#1072;%201%20&#1103;&#1085;&#1074;%202022%20&#1075;)%201610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https://indiana-my.sharepoint.com/personal/ayushkov_iu_edu/Documents/Desktop/&#1056;&#1072;&#1073;&#1086;&#1090;&#1072;%20&#1051;&#1062;/2023/&#1043;&#1077;&#1085;&#1080;&#1081;%20&#1084;&#1077;&#1089;&#1090;&#1072;/&#1043;&#1086;&#1088;&#1086;&#1076;&#1072;%20&#1057;&#1047;&#1060;&#1054;%20(&#1073;&#1086;&#1083;&#1100;&#1096;&#1077;%2050%20&#1090;&#1099;&#1089;%20&#1095;&#1077;&#1083;%20&#1085;&#1072;%201%20&#1103;&#1085;&#1074;%202022%20&#1075;)%202710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'Население на 1 янв чел'!$C$28</c:f>
              <c:strCache>
                <c:ptCount val="1"/>
                <c:pt idx="0">
                  <c:v>2022 к 2012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Pt>
            <c:idx val="7"/>
            <c:spPr>
              <a:solidFill>
                <a:srgbClr val="00B050"/>
              </a:solidFill>
              <a:ln>
                <a:noFill/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E6B-49C7-AA9F-2A56463852A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'Население на 1 янв чел'!$B$29:$B$51</c:f>
              <c:strCache>
                <c:ptCount val="23"/>
                <c:pt idx="0">
                  <c:v>Североморск</c:v>
                </c:pt>
                <c:pt idx="1">
                  <c:v>Всеволожск</c:v>
                </c:pt>
                <c:pt idx="2">
                  <c:v>Сертолово</c:v>
                </c:pt>
                <c:pt idx="3">
                  <c:v>Калининград</c:v>
                </c:pt>
                <c:pt idx="4">
                  <c:v>Петрозаводск</c:v>
                </c:pt>
                <c:pt idx="5">
                  <c:v>Псков</c:v>
                </c:pt>
                <c:pt idx="6">
                  <c:v>Великий Новгород</c:v>
                </c:pt>
                <c:pt idx="7">
                  <c:v>СЗФО</c:v>
                </c:pt>
                <c:pt idx="8">
                  <c:v>Котлас</c:v>
                </c:pt>
                <c:pt idx="9">
                  <c:v>Сыктывкар</c:v>
                </c:pt>
                <c:pt idx="10">
                  <c:v>Вологда</c:v>
                </c:pt>
                <c:pt idx="11">
                  <c:v>Сосновый Бор</c:v>
                </c:pt>
                <c:pt idx="12">
                  <c:v>Архангельск</c:v>
                </c:pt>
                <c:pt idx="13">
                  <c:v>Тихвин</c:v>
                </c:pt>
                <c:pt idx="14">
                  <c:v>Череповец</c:v>
                </c:pt>
                <c:pt idx="15">
                  <c:v>Северодвинск</c:v>
                </c:pt>
                <c:pt idx="16">
                  <c:v>Гатчина</c:v>
                </c:pt>
                <c:pt idx="17">
                  <c:v>Великие Луки</c:v>
                </c:pt>
                <c:pt idx="18">
                  <c:v>Мурманск</c:v>
                </c:pt>
                <c:pt idx="19">
                  <c:v>Ухта</c:v>
                </c:pt>
                <c:pt idx="20">
                  <c:v>Выборг</c:v>
                </c:pt>
                <c:pt idx="21">
                  <c:v>Апатиты</c:v>
                </c:pt>
                <c:pt idx="22">
                  <c:v>Воркута</c:v>
                </c:pt>
              </c:strCache>
            </c:strRef>
          </c:cat>
          <c:val>
            <c:numRef>
              <c:f>'Население на 1 янв чел'!$C$29:$C$51</c:f>
              <c:numCache>
                <c:formatCode>0.00</c:formatCode>
                <c:ptCount val="23"/>
                <c:pt idx="0">
                  <c:v>1.31</c:v>
                </c:pt>
                <c:pt idx="1">
                  <c:v>1.2693182942515089</c:v>
                </c:pt>
                <c:pt idx="2">
                  <c:v>1.2634294136914497</c:v>
                </c:pt>
                <c:pt idx="3">
                  <c:v>1.131547382892151</c:v>
                </c:pt>
                <c:pt idx="4">
                  <c:v>1.058911344590086</c:v>
                </c:pt>
                <c:pt idx="5">
                  <c:v>1.0249982840950318</c:v>
                </c:pt>
                <c:pt idx="6">
                  <c:v>1.0223417459660737</c:v>
                </c:pt>
                <c:pt idx="7">
                  <c:v>1.0176427525622256</c:v>
                </c:pt>
                <c:pt idx="8">
                  <c:v>1.016871479425524</c:v>
                </c:pt>
                <c:pt idx="9">
                  <c:v>1.0155134406595177</c:v>
                </c:pt>
                <c:pt idx="10">
                  <c:v>1.0100749668983529</c:v>
                </c:pt>
                <c:pt idx="11">
                  <c:v>0.9846643172858679</c:v>
                </c:pt>
                <c:pt idx="12">
                  <c:v>0.97943190200912733</c:v>
                </c:pt>
                <c:pt idx="13">
                  <c:v>0.96589466743591923</c:v>
                </c:pt>
                <c:pt idx="14">
                  <c:v>0.95344874547884662</c:v>
                </c:pt>
                <c:pt idx="15">
                  <c:v>0.94438781644163572</c:v>
                </c:pt>
                <c:pt idx="16">
                  <c:v>0.93128992145901313</c:v>
                </c:pt>
                <c:pt idx="17">
                  <c:v>0.91523667286415311</c:v>
                </c:pt>
                <c:pt idx="18">
                  <c:v>0.9148619498154299</c:v>
                </c:pt>
                <c:pt idx="19">
                  <c:v>0.90881154275948262</c:v>
                </c:pt>
                <c:pt idx="20">
                  <c:v>0.90512442190619069</c:v>
                </c:pt>
                <c:pt idx="21" formatCode="General">
                  <c:v>0.89000000000000024</c:v>
                </c:pt>
                <c:pt idx="22">
                  <c:v>0.77985776805251661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386-453C-9A3B-246407D80246}"/>
            </c:ext>
          </c:extLst>
        </c:ser>
        <c:gapWidth val="75"/>
        <c:overlap val="-25"/>
        <c:axId val="134796800"/>
        <c:axId val="134798720"/>
      </c:barChart>
      <c:catAx>
        <c:axId val="13479680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4798720"/>
        <c:crosses val="autoZero"/>
        <c:lblAlgn val="ctr"/>
        <c:lblOffset val="100"/>
      </c:catAx>
      <c:valAx>
        <c:axId val="134798720"/>
        <c:scaling>
          <c:orientation val="minMax"/>
          <c:min val="0.70000000000000062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4796800"/>
        <c:crossesAt val="1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8.4936111111111115E-2"/>
          <c:y val="0.15434027777777795"/>
          <c:w val="0.89350524691358091"/>
          <c:h val="0.61755138888888894"/>
        </c:manualLayout>
      </c:layout>
      <c:barChart>
        <c:barDir val="col"/>
        <c:grouping val="clustered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'Миграц прирост чел'!$B$28:$B$49</c:f>
              <c:strCache>
                <c:ptCount val="22"/>
                <c:pt idx="0">
                  <c:v>Калининград</c:v>
                </c:pt>
                <c:pt idx="1">
                  <c:v>Сертолово</c:v>
                </c:pt>
                <c:pt idx="2">
                  <c:v>Петрозаводск</c:v>
                </c:pt>
                <c:pt idx="3">
                  <c:v>Всеволожск</c:v>
                </c:pt>
                <c:pt idx="4">
                  <c:v>Великий Новгород</c:v>
                </c:pt>
                <c:pt idx="5">
                  <c:v>Псков</c:v>
                </c:pt>
                <c:pt idx="6">
                  <c:v>Североморск</c:v>
                </c:pt>
                <c:pt idx="7">
                  <c:v>Котлас</c:v>
                </c:pt>
                <c:pt idx="8">
                  <c:v>Гатчина</c:v>
                </c:pt>
                <c:pt idx="9">
                  <c:v>Тихвин</c:v>
                </c:pt>
                <c:pt idx="10">
                  <c:v>Сыктывкар</c:v>
                </c:pt>
                <c:pt idx="11">
                  <c:v>Мурманск</c:v>
                </c:pt>
                <c:pt idx="12">
                  <c:v>Сосновый Бор</c:v>
                </c:pt>
                <c:pt idx="13">
                  <c:v>Великие Луки</c:v>
                </c:pt>
                <c:pt idx="14">
                  <c:v>Архангельск</c:v>
                </c:pt>
                <c:pt idx="15">
                  <c:v>Череповец</c:v>
                </c:pt>
                <c:pt idx="16">
                  <c:v>Выборг</c:v>
                </c:pt>
                <c:pt idx="17">
                  <c:v>Апатиты</c:v>
                </c:pt>
                <c:pt idx="18">
                  <c:v>Вологда</c:v>
                </c:pt>
                <c:pt idx="19">
                  <c:v>Северодвинск</c:v>
                </c:pt>
                <c:pt idx="20">
                  <c:v>Ухта</c:v>
                </c:pt>
                <c:pt idx="21">
                  <c:v>Воркута</c:v>
                </c:pt>
              </c:strCache>
            </c:strRef>
          </c:cat>
          <c:val>
            <c:numRef>
              <c:f>'Миграц прирост чел'!$C$28:$C$49</c:f>
              <c:numCache>
                <c:formatCode>General</c:formatCode>
                <c:ptCount val="22"/>
                <c:pt idx="0">
                  <c:v>74990</c:v>
                </c:pt>
                <c:pt idx="1">
                  <c:v>31138</c:v>
                </c:pt>
                <c:pt idx="2">
                  <c:v>21386</c:v>
                </c:pt>
                <c:pt idx="3">
                  <c:v>16540</c:v>
                </c:pt>
                <c:pt idx="4">
                  <c:v>11196</c:v>
                </c:pt>
                <c:pt idx="5">
                  <c:v>8488</c:v>
                </c:pt>
                <c:pt idx="6">
                  <c:v>3725</c:v>
                </c:pt>
                <c:pt idx="7">
                  <c:v>3294</c:v>
                </c:pt>
                <c:pt idx="8">
                  <c:v>2052</c:v>
                </c:pt>
                <c:pt idx="9">
                  <c:v>1939</c:v>
                </c:pt>
                <c:pt idx="10">
                  <c:v>597</c:v>
                </c:pt>
                <c:pt idx="11">
                  <c:v>0</c:v>
                </c:pt>
                <c:pt idx="12">
                  <c:v>-152</c:v>
                </c:pt>
                <c:pt idx="13">
                  <c:v>-1444</c:v>
                </c:pt>
                <c:pt idx="14">
                  <c:v>-1611</c:v>
                </c:pt>
                <c:pt idx="15">
                  <c:v>-2401</c:v>
                </c:pt>
                <c:pt idx="16">
                  <c:v>-2468</c:v>
                </c:pt>
                <c:pt idx="17">
                  <c:v>-3365</c:v>
                </c:pt>
                <c:pt idx="18">
                  <c:v>-5435</c:v>
                </c:pt>
                <c:pt idx="19">
                  <c:v>-7474</c:v>
                </c:pt>
                <c:pt idx="20">
                  <c:v>-10794</c:v>
                </c:pt>
                <c:pt idx="21">
                  <c:v>-21150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9E7-4FAA-8556-46C38939661B}"/>
            </c:ext>
          </c:extLst>
        </c:ser>
        <c:gapWidth val="219"/>
        <c:overlap val="-27"/>
        <c:axId val="151641472"/>
        <c:axId val="151712896"/>
      </c:barChart>
      <c:catAx>
        <c:axId val="151641472"/>
        <c:scaling>
          <c:orientation val="minMax"/>
        </c:scaling>
        <c:axPos val="b"/>
        <c:numFmt formatCode="General" sourceLinked="1"/>
        <c:maj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1712896"/>
        <c:crosses val="autoZero"/>
        <c:auto val="1"/>
        <c:lblAlgn val="ctr"/>
        <c:lblOffset val="100"/>
      </c:catAx>
      <c:valAx>
        <c:axId val="1517128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16414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'Общая площадь жилых помещений'!$C$89</c:f>
              <c:strCache>
                <c:ptCount val="1"/>
                <c:pt idx="0">
                  <c:v>Прирост площади жилых помещений на душу населения с 2012 по 2021, кв.м.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'Общая площадь жилых помещений'!$B$90:$B$111</c:f>
              <c:strCache>
                <c:ptCount val="22"/>
                <c:pt idx="0">
                  <c:v>Североморск</c:v>
                </c:pt>
                <c:pt idx="1">
                  <c:v>Котлас</c:v>
                </c:pt>
                <c:pt idx="2">
                  <c:v>Вологда</c:v>
                </c:pt>
                <c:pt idx="3">
                  <c:v>Калининград</c:v>
                </c:pt>
                <c:pt idx="4">
                  <c:v>Великие Луки</c:v>
                </c:pt>
                <c:pt idx="5">
                  <c:v>Гатчина</c:v>
                </c:pt>
                <c:pt idx="6">
                  <c:v>Сертолово</c:v>
                </c:pt>
                <c:pt idx="7">
                  <c:v>Псков</c:v>
                </c:pt>
                <c:pt idx="8">
                  <c:v>Выборг</c:v>
                </c:pt>
                <c:pt idx="9">
                  <c:v>Череповец</c:v>
                </c:pt>
                <c:pt idx="10">
                  <c:v>Сыктывкар</c:v>
                </c:pt>
                <c:pt idx="11">
                  <c:v>Мурманск</c:v>
                </c:pt>
                <c:pt idx="12">
                  <c:v>Петрозаводск</c:v>
                </c:pt>
                <c:pt idx="13">
                  <c:v>Северодвинск</c:v>
                </c:pt>
                <c:pt idx="14">
                  <c:v>Великий Новгород</c:v>
                </c:pt>
                <c:pt idx="15">
                  <c:v>Всеволожск</c:v>
                </c:pt>
                <c:pt idx="16">
                  <c:v>Воркута</c:v>
                </c:pt>
                <c:pt idx="17">
                  <c:v>Сосновый Бор</c:v>
                </c:pt>
                <c:pt idx="18">
                  <c:v>Ухта</c:v>
                </c:pt>
                <c:pt idx="19">
                  <c:v>Апатиты</c:v>
                </c:pt>
                <c:pt idx="20">
                  <c:v>Тихвин</c:v>
                </c:pt>
                <c:pt idx="21">
                  <c:v>Архангельск</c:v>
                </c:pt>
              </c:strCache>
            </c:strRef>
          </c:cat>
          <c:val>
            <c:numRef>
              <c:f>'Общая площадь жилых помещений'!$C$90:$C$111</c:f>
              <c:numCache>
                <c:formatCode>0.0</c:formatCode>
                <c:ptCount val="22"/>
                <c:pt idx="0">
                  <c:v>18.612476951444375</c:v>
                </c:pt>
                <c:pt idx="1">
                  <c:v>7.569698392769876</c:v>
                </c:pt>
                <c:pt idx="2">
                  <c:v>7.4268621398333936</c:v>
                </c:pt>
                <c:pt idx="3">
                  <c:v>5.7057686806363419</c:v>
                </c:pt>
                <c:pt idx="4">
                  <c:v>4.6250309769199207</c:v>
                </c:pt>
                <c:pt idx="5">
                  <c:v>4.5399013006212314</c:v>
                </c:pt>
                <c:pt idx="6">
                  <c:v>4.4955761852031335</c:v>
                </c:pt>
                <c:pt idx="7">
                  <c:v>3.9787280966871954</c:v>
                </c:pt>
                <c:pt idx="8">
                  <c:v>3.9740413484273778</c:v>
                </c:pt>
                <c:pt idx="9">
                  <c:v>3.8354498998368265</c:v>
                </c:pt>
                <c:pt idx="10">
                  <c:v>3.6543908801734482</c:v>
                </c:pt>
                <c:pt idx="11">
                  <c:v>3.6538721354576231</c:v>
                </c:pt>
                <c:pt idx="12">
                  <c:v>3.623682331850361</c:v>
                </c:pt>
                <c:pt idx="13">
                  <c:v>3.5273895649457612</c:v>
                </c:pt>
                <c:pt idx="14">
                  <c:v>3.4720328260722204</c:v>
                </c:pt>
                <c:pt idx="15">
                  <c:v>3.3453372262933088</c:v>
                </c:pt>
                <c:pt idx="16">
                  <c:v>2.7911618711260244</c:v>
                </c:pt>
                <c:pt idx="17">
                  <c:v>2.5641006340902734</c:v>
                </c:pt>
                <c:pt idx="18">
                  <c:v>2.186052053570716</c:v>
                </c:pt>
                <c:pt idx="19">
                  <c:v>2.14201349167026</c:v>
                </c:pt>
                <c:pt idx="20">
                  <c:v>0.90749728241729599</c:v>
                </c:pt>
                <c:pt idx="21">
                  <c:v>0.22917815361322622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5BE-4634-AED4-53D200CD6071}"/>
            </c:ext>
          </c:extLst>
        </c:ser>
        <c:gapWidth val="219"/>
        <c:overlap val="-27"/>
        <c:axId val="228732288"/>
        <c:axId val="228779136"/>
      </c:barChart>
      <c:catAx>
        <c:axId val="22873228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8779136"/>
        <c:crosses val="autoZero"/>
        <c:auto val="1"/>
        <c:lblAlgn val="ctr"/>
        <c:lblOffset val="100"/>
      </c:catAx>
      <c:valAx>
        <c:axId val="2287791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28732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'[Города СЗФО (больше 50 тыс чел на 1 янв 2022 г) 271023.xlsx]Бюджетные параметры'!$C$212:$M$212</c:f>
              <c:numCache>
                <c:formatCode>General</c:formatCod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numCache>
            </c:numRef>
          </c:cat>
          <c:val>
            <c:numRef>
              <c:f>'[Города СЗФО (больше 50 тыс чел на 1 янв 2022 г) 271023.xlsx]Бюджетные параметры'!$C$213:$M$213</c:f>
              <c:numCache>
                <c:formatCode>0.0000</c:formatCode>
                <c:ptCount val="11"/>
                <c:pt idx="0">
                  <c:v>0.49337025664069462</c:v>
                </c:pt>
                <c:pt idx="1">
                  <c:v>0.50581907767515977</c:v>
                </c:pt>
                <c:pt idx="2">
                  <c:v>0.53462342917919226</c:v>
                </c:pt>
                <c:pt idx="3">
                  <c:v>0.51875930627187183</c:v>
                </c:pt>
                <c:pt idx="4">
                  <c:v>0.54930877685546853</c:v>
                </c:pt>
                <c:pt idx="5">
                  <c:v>0.5569126092725325</c:v>
                </c:pt>
                <c:pt idx="6">
                  <c:v>0.56439098219076789</c:v>
                </c:pt>
                <c:pt idx="7">
                  <c:v>0.57315460318013312</c:v>
                </c:pt>
                <c:pt idx="8">
                  <c:v>0.60565496906638161</c:v>
                </c:pt>
                <c:pt idx="9">
                  <c:v>0.6186245784163481</c:v>
                </c:pt>
                <c:pt idx="10">
                  <c:v>0.634366931021213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22CB-4C15-85A4-6A3A14C972CA}"/>
            </c:ext>
          </c:extLst>
        </c:ser>
        <c:marker val="1"/>
        <c:axId val="112571136"/>
        <c:axId val="112573056"/>
      </c:lineChart>
      <c:catAx>
        <c:axId val="112571136"/>
        <c:scaling>
          <c:orientation val="minMax"/>
        </c:scaling>
        <c:axPos val="b"/>
        <c:numFmt formatCode="General" sourceLinked="1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2573056"/>
        <c:crosses val="autoZero"/>
        <c:auto val="1"/>
        <c:lblAlgn val="ctr"/>
        <c:lblOffset val="100"/>
      </c:catAx>
      <c:valAx>
        <c:axId val="112573056"/>
        <c:scaling>
          <c:orientation val="minMax"/>
          <c:min val="0.4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2571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000" b="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CA617D4-8948-4DC8-A310-5CD0CB58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User788</dc:creator>
  <cp:lastModifiedBy>User</cp:lastModifiedBy>
  <cp:revision>5</cp:revision>
  <cp:lastPrinted>2025-03-04T08:50:00Z</cp:lastPrinted>
  <dcterms:created xsi:type="dcterms:W3CDTF">2025-03-03T08:48:00Z</dcterms:created>
  <dcterms:modified xsi:type="dcterms:W3CDTF">2025-03-04T11:37:00Z</dcterms:modified>
</cp:coreProperties>
</file>